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12C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EA0D558">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0F06B49">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374D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52509F7">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2"/>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501F9B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4CB3829">
                  <w:pPr>
                    <w:pStyle w:val="55"/>
                    <w:framePr w:wrap="notBeside" w:vAnchor="page" w:hAnchor="page" w:x="1372" w:y="568"/>
                    <w:ind w:left="420" w:right="624"/>
                    <w:rPr>
                      <w:rFonts w:hint="eastAsia" w:ascii="宋体" w:hAnsi="宋体"/>
                      <w:sz w:val="28"/>
                      <w:szCs w:val="28"/>
                      <w:highlight w:val="yellow"/>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SCSF</w:t>
                  </w:r>
                  <w:r>
                    <w:fldChar w:fldCharType="end"/>
                  </w:r>
                  <w:bookmarkEnd w:id="1"/>
                </w:p>
              </w:tc>
            </w:tr>
          </w:tbl>
          <w:p w14:paraId="275024E8">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2"/>
          </w:p>
        </w:tc>
      </w:tr>
    </w:tbl>
    <w:p w14:paraId="522F757C">
      <w:pPr>
        <w:pStyle w:val="56"/>
        <w:framePr w:w="7023" w:h="589" w:hRule="exact" w:hSpace="181" w:vSpace="181" w:hAnchor="page" w:x="2820" w:y="2413"/>
        <w:rPr>
          <w:rFonts w:hint="eastAsia"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99D0182">
      <w:pPr>
        <w:pStyle w:val="201"/>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SCSF</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618BCAF1">
      <w:pPr>
        <w:pStyle w:val="202"/>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3764D147">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39C6B02">
      <w:pPr>
        <w:pStyle w:val="56"/>
        <w:framePr w:w="9639" w:h="6976" w:hRule="exact" w:hSpace="0" w:vSpace="0" w:hAnchor="page" w:y="6408"/>
        <w:jc w:val="center"/>
        <w:rPr>
          <w:rFonts w:hint="eastAsia" w:ascii="黑体" w:hAnsi="黑体" w:eastAsia="黑体"/>
          <w:b w:val="0"/>
          <w:bCs w:val="0"/>
          <w:w w:val="100"/>
        </w:rPr>
      </w:pPr>
    </w:p>
    <w:p w14:paraId="05B772C5">
      <w:pPr>
        <w:pStyle w:val="203"/>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 xml:space="preserve">水产养殖调水用品安全性评价技术规范 </w:t>
      </w:r>
    </w:p>
    <w:p w14:paraId="135E39BD">
      <w:pPr>
        <w:pStyle w:val="203"/>
        <w:framePr w:h="6974" w:hRule="exact" w:wrap="around" w:x="1419" w:anchorLock="1"/>
        <w:rPr>
          <w:rFonts w:hint="eastAsia"/>
        </w:rPr>
      </w:pPr>
      <w:r>
        <w:rPr>
          <w:rFonts w:hint="eastAsia"/>
        </w:rPr>
        <w:t>第1部分：化学类</w:t>
      </w:r>
      <w:r>
        <w:fldChar w:fldCharType="end"/>
      </w:r>
      <w:bookmarkEnd w:id="8"/>
    </w:p>
    <w:p w14:paraId="22943A40">
      <w:pPr>
        <w:framePr w:w="9639" w:h="6974" w:hRule="exact" w:wrap="around" w:vAnchor="page" w:hAnchor="page" w:x="1419" w:y="6408" w:anchorLock="1"/>
        <w:ind w:left="-1418"/>
      </w:pPr>
    </w:p>
    <w:p w14:paraId="22B166AB">
      <w:pPr>
        <w:pStyle w:val="13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specification for safety assessment of aquacultural water conditioning supplies </w:t>
      </w:r>
    </w:p>
    <w:p w14:paraId="2A1D238C">
      <w:pPr>
        <w:pStyle w:val="131"/>
        <w:framePr w:w="9639" w:h="6974" w:hRule="exact" w:wrap="around" w:vAnchor="page" w:hAnchor="page" w:x="1419" w:y="6408" w:anchorLock="1"/>
        <w:textAlignment w:val="bottom"/>
        <w:rPr>
          <w:rFonts w:eastAsia="黑体"/>
          <w:szCs w:val="28"/>
        </w:rPr>
      </w:pPr>
      <w:r>
        <w:rPr>
          <w:rFonts w:hint="eastAsia" w:eastAsia="黑体"/>
          <w:szCs w:val="28"/>
        </w:rPr>
        <w:t>Part 1: Chemical agents</w:t>
      </w:r>
      <w:r>
        <w:rPr>
          <w:rFonts w:eastAsia="黑体"/>
          <w:szCs w:val="28"/>
        </w:rPr>
        <w:fldChar w:fldCharType="end"/>
      </w:r>
      <w:bookmarkEnd w:id="9"/>
    </w:p>
    <w:p w14:paraId="1EB3FDEC">
      <w:pPr>
        <w:framePr w:w="9639" w:h="6974" w:hRule="exact" w:wrap="around" w:vAnchor="page" w:hAnchor="page" w:x="1419" w:y="6408" w:anchorLock="1"/>
        <w:spacing w:line="760" w:lineRule="exact"/>
        <w:ind w:left="-1418"/>
      </w:pPr>
    </w:p>
    <w:p w14:paraId="4535CAEE">
      <w:pPr>
        <w:pStyle w:val="131"/>
        <w:framePr w:w="9639" w:h="6974" w:hRule="exact" w:wrap="around" w:vAnchor="page" w:hAnchor="page" w:x="1419" w:y="6408" w:anchorLock="1"/>
        <w:textAlignment w:val="bottom"/>
        <w:rPr>
          <w:rFonts w:eastAsia="黑体"/>
          <w:szCs w:val="28"/>
        </w:rPr>
      </w:pPr>
    </w:p>
    <w:p w14:paraId="5D7B9F2D">
      <w:pPr>
        <w:pStyle w:val="131"/>
        <w:framePr w:w="9639" w:h="6974" w:hRule="exact" w:wrap="around" w:vAnchor="page" w:hAnchor="page" w:x="1419" w:y="6408" w:anchorLock="1"/>
        <w:spacing w:before="440" w:after="160"/>
        <w:textAlignment w:val="bottom"/>
        <w:rPr>
          <w:sz w:val="24"/>
          <w:szCs w:val="28"/>
        </w:rPr>
      </w:pPr>
      <w:bookmarkStart w:id="10" w:name="下拉1"/>
      <w:r>
        <w:rPr>
          <w:sz w:val="24"/>
          <w:szCs w:val="28"/>
        </w:rPr>
        <w:fldChar w:fldCharType="begin">
          <w:ffData>
            <w:name w:val="下拉1"/>
            <w:enabled/>
            <w:calcOnExit w:val="0"/>
            <w:ddList>
              <w:listEntry w:val="（征求意见稿）"/>
              <w:listEntry w:val="（工作组讨论稿）"/>
              <w:listEntry w:val="草案版次选择"/>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10"/>
    </w:p>
    <w:p w14:paraId="6114E6FB">
      <w:pPr>
        <w:pStyle w:val="131"/>
        <w:framePr w:w="9639" w:h="6974" w:hRule="exact" w:wrap="around" w:vAnchor="page" w:hAnchor="page" w:x="1419" w:y="6408" w:anchorLock="1"/>
        <w:spacing w:before="440" w:after="160"/>
        <w:textAlignment w:val="bottom"/>
        <w:rPr>
          <w:sz w:val="24"/>
          <w:szCs w:val="28"/>
        </w:rPr>
      </w:pPr>
    </w:p>
    <w:p w14:paraId="54E6BB15">
      <w:pPr>
        <w:pStyle w:val="131"/>
        <w:framePr w:w="9639" w:h="6974" w:hRule="exact" w:wrap="around" w:vAnchor="page" w:hAnchor="page" w:x="1419" w:y="6408" w:anchorLock="1"/>
        <w:spacing w:before="180" w:line="240" w:lineRule="atLeast"/>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3B90C30B">
      <w:pPr>
        <w:pStyle w:val="199"/>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628A8AE8">
      <w:pPr>
        <w:pStyle w:val="200"/>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068B32A1">
      <w:pPr>
        <w:pStyle w:val="157"/>
        <w:framePr w:h="584" w:hRule="exact" w:hSpace="181" w:vSpace="181" w:y="14800"/>
        <w:rPr>
          <w:rFonts w:hint="eastAsia"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中</w:t>
      </w:r>
      <w:r>
        <w:rPr>
          <w:rFonts w:hint="eastAsia" w:hAnsi="黑体"/>
          <w:w w:val="100"/>
          <w:sz w:val="28"/>
        </w:rPr>
        <w:t>国水产学会</w:t>
      </w:r>
      <w:r>
        <w:rPr>
          <w:rFonts w:hAnsi="黑体"/>
          <w:w w:val="100"/>
          <w:sz w:val="28"/>
        </w:rPr>
        <w:fldChar w:fldCharType="end"/>
      </w:r>
      <w:bookmarkEnd w:id="18"/>
      <w:r>
        <w:rPr>
          <w:rFonts w:ascii="Times New Roman"/>
          <w:w w:val="100"/>
          <w:sz w:val="28"/>
        </w:rPr>
        <w:t>  </w:t>
      </w:r>
      <w:r>
        <w:rPr>
          <w:rStyle w:val="235"/>
          <w:rFonts w:hint="eastAsia" w:hAnsi="黑体"/>
          <w:position w:val="0"/>
        </w:rPr>
        <w:t>发</w:t>
      </w:r>
      <w:r>
        <w:rPr>
          <w:rStyle w:val="235"/>
          <w:rFonts w:hint="eastAsia" w:hAnsi="黑体"/>
          <w:spacing w:val="0"/>
          <w:position w:val="0"/>
        </w:rPr>
        <w:t>布</w:t>
      </w:r>
    </w:p>
    <w:p w14:paraId="34664E11">
      <w:pPr>
        <w:rPr>
          <w:rFonts w:hint="eastAsia"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6F77104">
      <w:pPr>
        <w:pStyle w:val="95"/>
        <w:spacing w:before="560" w:after="360"/>
      </w:pPr>
      <w:bookmarkStart w:id="19" w:name="BookMark2"/>
      <w:r>
        <w:rPr>
          <w:rFonts w:hint="eastAsia"/>
          <w:spacing w:val="320"/>
        </w:rPr>
        <w:t>前</w:t>
      </w:r>
      <w:r>
        <w:rPr>
          <w:rFonts w:hint="eastAsia"/>
        </w:rPr>
        <w:t>言</w:t>
      </w:r>
    </w:p>
    <w:p w14:paraId="0827EEDB">
      <w:pPr>
        <w:pStyle w:val="62"/>
        <w:spacing w:line="276" w:lineRule="auto"/>
        <w:ind w:firstLine="420"/>
        <w:rPr>
          <w:rFonts w:ascii="Times New Roman"/>
        </w:rPr>
      </w:pPr>
      <w:r>
        <w:rPr>
          <w:rFonts w:ascii="Times New Roman"/>
        </w:rPr>
        <w:t>本文件按照GB/T 1.1—2020《标准化工作导则 第1部分：标准化文件的结构和起草规则》的规定起草。</w:t>
      </w:r>
    </w:p>
    <w:p w14:paraId="22F0C3BB">
      <w:pPr>
        <w:pStyle w:val="62"/>
        <w:spacing w:line="276" w:lineRule="auto"/>
        <w:ind w:firstLine="420"/>
        <w:rPr>
          <w:rFonts w:ascii="Times New Roman"/>
        </w:rPr>
      </w:pPr>
      <w:r>
        <w:rPr>
          <w:rFonts w:ascii="Times New Roman"/>
        </w:rPr>
        <w:t>本文件是T/SCSF***《水产养殖用调水用品生物安全性评价技术规范》的第1部分。T/SCSF***已经发布了以下部分：</w:t>
      </w:r>
    </w:p>
    <w:p w14:paraId="21F8788A">
      <w:pPr>
        <w:pStyle w:val="62"/>
        <w:spacing w:line="276" w:lineRule="auto"/>
        <w:ind w:firstLine="420"/>
        <w:rPr>
          <w:rFonts w:ascii="Times New Roman"/>
        </w:rPr>
      </w:pPr>
      <w:r>
        <w:rPr>
          <w:rFonts w:ascii="Times New Roman"/>
        </w:rPr>
        <w:t>——第1部分：化学类</w:t>
      </w:r>
    </w:p>
    <w:p w14:paraId="714409A4">
      <w:pPr>
        <w:pStyle w:val="62"/>
        <w:spacing w:line="276" w:lineRule="auto"/>
        <w:ind w:firstLine="420"/>
        <w:rPr>
          <w:rFonts w:ascii="Times New Roman"/>
        </w:rPr>
      </w:pPr>
      <w:r>
        <w:rPr>
          <w:rFonts w:ascii="Times New Roman"/>
        </w:rPr>
        <w:t>——第2部分：生物类</w:t>
      </w:r>
    </w:p>
    <w:p w14:paraId="18B0CC64">
      <w:pPr>
        <w:pStyle w:val="62"/>
        <w:spacing w:line="276" w:lineRule="auto"/>
        <w:ind w:firstLine="420"/>
        <w:rPr>
          <w:rFonts w:ascii="Times New Roman"/>
        </w:rPr>
      </w:pPr>
      <w:r>
        <w:rPr>
          <w:rFonts w:ascii="Times New Roman"/>
        </w:rPr>
        <w:t>请注意本文件的某些内容可能涉及专利。本文件的发布机构不承担识别这些专利的责任。</w:t>
      </w:r>
    </w:p>
    <w:p w14:paraId="298322C8">
      <w:pPr>
        <w:pStyle w:val="62"/>
        <w:spacing w:line="276" w:lineRule="auto"/>
        <w:ind w:firstLine="420"/>
        <w:rPr>
          <w:rFonts w:ascii="Times New Roman"/>
        </w:rPr>
      </w:pPr>
      <w:r>
        <w:rPr>
          <w:rFonts w:ascii="Times New Roman"/>
        </w:rPr>
        <w:t>本文件由中国水产学会归口。</w:t>
      </w:r>
    </w:p>
    <w:p w14:paraId="7E0047F8">
      <w:pPr>
        <w:pStyle w:val="237"/>
        <w:tabs>
          <w:tab w:val="center" w:pos="4201"/>
          <w:tab w:val="right" w:leader="dot" w:pos="9298"/>
        </w:tabs>
        <w:spacing w:line="276" w:lineRule="auto"/>
        <w:rPr>
          <w:rFonts w:ascii="Times New Roman" w:hAnsi="Times New Roman" w:cs="Times New Roman"/>
        </w:rPr>
      </w:pPr>
      <w:r>
        <w:rPr>
          <w:rFonts w:ascii="Times New Roman" w:hAnsi="Times New Roman" w:cs="Times New Roman"/>
        </w:rPr>
        <w:t>本文件起草单位：</w:t>
      </w:r>
    </w:p>
    <w:p w14:paraId="6BD2CE8D">
      <w:pPr>
        <w:pStyle w:val="62"/>
        <w:spacing w:line="276" w:lineRule="auto"/>
        <w:ind w:firstLine="420"/>
        <w:rPr>
          <w:rFonts w:ascii="Times New Roman"/>
        </w:rPr>
        <w:sectPr>
          <w:headerReference r:id="rId10" w:type="default"/>
          <w:footerReference r:id="rId11" w:type="default"/>
          <w:pgSz w:w="11906" w:h="16838"/>
          <w:pgMar w:top="1928" w:right="1134" w:bottom="1134" w:left="1134" w:header="1418" w:footer="1134" w:gutter="284"/>
          <w:pgNumType w:fmt="upperRoman" w:start="1"/>
          <w:cols w:space="425" w:num="1"/>
          <w:formProt w:val="0"/>
          <w:docGrid w:linePitch="312" w:charSpace="0"/>
        </w:sectPr>
      </w:pPr>
      <w:r>
        <w:rPr>
          <w:rFonts w:ascii="Times New Roman"/>
        </w:rPr>
        <w:t>本文件主要起草人：</w:t>
      </w:r>
    </w:p>
    <w:bookmarkEnd w:id="19"/>
    <w:p w14:paraId="54B69BBD">
      <w:pPr>
        <w:spacing w:line="20" w:lineRule="exact"/>
        <w:jc w:val="center"/>
        <w:rPr>
          <w:rFonts w:hint="eastAsia" w:ascii="黑体" w:hAnsi="黑体" w:eastAsia="黑体"/>
          <w:sz w:val="32"/>
          <w:szCs w:val="32"/>
        </w:rPr>
      </w:pPr>
      <w:bookmarkStart w:id="20" w:name="BookMark4"/>
    </w:p>
    <w:p w14:paraId="66686456">
      <w:pPr>
        <w:spacing w:line="20" w:lineRule="exact"/>
        <w:jc w:val="center"/>
        <w:rPr>
          <w:rFonts w:hint="eastAsia" w:ascii="黑体" w:hAnsi="黑体" w:eastAsia="黑体"/>
          <w:sz w:val="32"/>
          <w:szCs w:val="32"/>
        </w:rPr>
      </w:pPr>
    </w:p>
    <w:sdt>
      <w:sdtPr>
        <w:tag w:val="NEW_STAND_NAME"/>
        <w:id w:val="595910757"/>
        <w:lock w:val="sdtLocked"/>
        <w:placeholder>
          <w:docPart w:val="5A3A2D58D6D849859A51C62D26ECAB3F"/>
        </w:placeholder>
      </w:sdtPr>
      <w:sdtContent>
        <w:p w14:paraId="089AE1C3">
          <w:pPr>
            <w:pStyle w:val="183"/>
            <w:spacing w:before="640" w:after="560"/>
            <w:rPr>
              <w:rFonts w:hint="eastAsia"/>
            </w:rPr>
          </w:pPr>
          <w:bookmarkStart w:id="21" w:name="NEW_STAND_NAME"/>
          <w:r>
            <w:rPr>
              <w:rFonts w:hint="eastAsia"/>
            </w:rPr>
            <w:t>水产养殖调水用品安全性评价技术规范 第1部分：化学类</w:t>
          </w:r>
        </w:p>
      </w:sdtContent>
    </w:sdt>
    <w:bookmarkEnd w:id="21"/>
    <w:p w14:paraId="24B58B04">
      <w:pPr>
        <w:pStyle w:val="110"/>
        <w:spacing w:before="240" w:after="240"/>
      </w:pPr>
      <w:bookmarkStart w:id="22" w:name="_Toc26986530"/>
      <w:bookmarkStart w:id="23" w:name="_Toc17233333"/>
      <w:bookmarkStart w:id="24" w:name="_Toc97192964"/>
      <w:bookmarkStart w:id="25" w:name="_Toc26986771"/>
      <w:bookmarkStart w:id="26" w:name="_Toc24884218"/>
      <w:bookmarkStart w:id="27" w:name="_Toc26648465"/>
      <w:bookmarkStart w:id="28" w:name="_Toc24884211"/>
      <w:bookmarkStart w:id="29" w:name="_Toc17233325"/>
      <w:bookmarkStart w:id="30" w:name="_Toc26718930"/>
      <w:r>
        <w:rPr>
          <w:rFonts w:hint="eastAsia"/>
        </w:rPr>
        <w:t>范围</w:t>
      </w:r>
      <w:bookmarkEnd w:id="22"/>
      <w:bookmarkEnd w:id="23"/>
      <w:bookmarkEnd w:id="24"/>
      <w:bookmarkEnd w:id="25"/>
      <w:bookmarkEnd w:id="26"/>
      <w:bookmarkEnd w:id="27"/>
      <w:bookmarkEnd w:id="28"/>
      <w:bookmarkEnd w:id="29"/>
      <w:bookmarkEnd w:id="30"/>
    </w:p>
    <w:p w14:paraId="4CDC4752">
      <w:pPr>
        <w:pStyle w:val="62"/>
        <w:spacing w:line="276" w:lineRule="auto"/>
        <w:ind w:firstLine="420"/>
      </w:pPr>
      <w:bookmarkStart w:id="31" w:name="_Toc26648466"/>
      <w:bookmarkStart w:id="32" w:name="_Toc17233334"/>
      <w:bookmarkStart w:id="33" w:name="_Toc24884212"/>
      <w:bookmarkStart w:id="34" w:name="_Toc17233326"/>
      <w:bookmarkStart w:id="35" w:name="_Toc24884219"/>
      <w:r>
        <w:rPr>
          <w:rFonts w:hint="eastAsia"/>
        </w:rPr>
        <w:t>本文件规定了水产养殖调水用品（化学类）安全性评价的要求、评价内容与方法、评价程序、评价结果、报告和资料存档。</w:t>
      </w:r>
    </w:p>
    <w:p w14:paraId="1F534A25">
      <w:pPr>
        <w:pStyle w:val="62"/>
        <w:spacing w:line="276" w:lineRule="auto"/>
        <w:ind w:firstLine="420"/>
      </w:pPr>
      <w:r>
        <w:rPr>
          <w:rFonts w:hint="eastAsia"/>
        </w:rPr>
        <w:t>本文件适用于水产养殖调水用品（化学类）的安全性评价。</w:t>
      </w:r>
    </w:p>
    <w:p w14:paraId="282D1538">
      <w:pPr>
        <w:pStyle w:val="110"/>
        <w:spacing w:before="240" w:after="240"/>
      </w:pPr>
      <w:bookmarkStart w:id="36" w:name="_Toc26986531"/>
      <w:bookmarkStart w:id="37" w:name="_Toc26986772"/>
      <w:bookmarkStart w:id="38" w:name="_Toc97192965"/>
      <w:bookmarkStart w:id="39" w:name="_Toc267189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05658745C3E14888A81E58AC3CD142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rPr>
      </w:sdtEndPr>
      <w:sdtContent>
        <w:p w14:paraId="08FABAE8">
          <w:pPr>
            <w:pStyle w:val="62"/>
            <w:spacing w:line="276" w:lineRule="auto"/>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F6DCD1B">
      <w:pPr>
        <w:pStyle w:val="62"/>
        <w:spacing w:line="276" w:lineRule="auto"/>
        <w:ind w:firstLine="420"/>
        <w:rPr>
          <w:rFonts w:ascii="Times New Roman"/>
        </w:rPr>
      </w:pPr>
      <w:r>
        <w:rPr>
          <w:rFonts w:ascii="Times New Roman"/>
        </w:rPr>
        <w:t>GB/T 16125  大型溞急性毒性实验方法</w:t>
      </w:r>
    </w:p>
    <w:p w14:paraId="5F6D3823">
      <w:pPr>
        <w:pStyle w:val="62"/>
        <w:spacing w:line="276" w:lineRule="auto"/>
        <w:ind w:firstLine="420"/>
        <w:rPr>
          <w:rFonts w:ascii="Times New Roman"/>
        </w:rPr>
      </w:pPr>
      <w:r>
        <w:rPr>
          <w:rFonts w:ascii="Times New Roman"/>
        </w:rPr>
        <w:t>GB/T 22213  水产养殖术语</w:t>
      </w:r>
    </w:p>
    <w:p w14:paraId="4F8548FF">
      <w:pPr>
        <w:pStyle w:val="110"/>
        <w:spacing w:before="240" w:after="240"/>
      </w:pPr>
      <w:bookmarkStart w:id="40" w:name="_Toc97192966"/>
      <w:r>
        <w:rPr>
          <w:rFonts w:hint="eastAsia"/>
          <w:szCs w:val="21"/>
        </w:rPr>
        <w:t>术语和定义</w:t>
      </w:r>
      <w:bookmarkEnd w:id="40"/>
    </w:p>
    <w:p w14:paraId="6CA429C3">
      <w:pPr>
        <w:pStyle w:val="62"/>
        <w:ind w:firstLine="420"/>
        <w:rPr>
          <w:rFonts w:ascii="Times New Roman"/>
        </w:rPr>
      </w:pPr>
      <w:bookmarkStart w:id="41" w:name="_Toc26986532"/>
      <w:bookmarkEnd w:id="41"/>
      <w:sdt>
        <w:sdtPr>
          <w:id w:val="-1909835108"/>
          <w:placeholder>
            <w:docPart w:val="11AEB22BF1624B07B8F340787C90C3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r>
            <w:rPr>
              <w:rFonts w:ascii="Times New Roman"/>
            </w:rPr>
            <w:t>GB/T 22213界定的以及下列术语和定义适用于本文件。</w:t>
          </w:r>
        </w:sdtContent>
      </w:sdt>
    </w:p>
    <w:p w14:paraId="40665D1F">
      <w:pPr>
        <w:pStyle w:val="229"/>
        <w:spacing w:line="276" w:lineRule="auto"/>
        <w:ind w:left="420" w:hanging="420" w:hangingChars="200"/>
        <w:rPr>
          <w:rFonts w:ascii="Times New Roman" w:eastAsia="黑体"/>
        </w:rPr>
      </w:pPr>
      <w:r>
        <w:rPr>
          <w:rFonts w:ascii="黑体" w:hAnsi="黑体" w:eastAsia="黑体"/>
        </w:rPr>
        <w:br w:type="textWrapping"/>
      </w:r>
      <w:r>
        <w:rPr>
          <w:rFonts w:ascii="Times New Roman" w:eastAsia="黑体"/>
        </w:rPr>
        <w:t>水产养殖调水用品（化学类）water conditioning supplies for aquaculture（chemical）</w:t>
      </w:r>
    </w:p>
    <w:p w14:paraId="60493D49">
      <w:pPr>
        <w:pStyle w:val="62"/>
        <w:spacing w:line="276" w:lineRule="auto"/>
        <w:ind w:firstLine="420"/>
      </w:pPr>
      <w:r>
        <w:rPr>
          <w:rFonts w:hint="eastAsia"/>
        </w:rPr>
        <w:t>调节养殖水质、底质理化指标，改善养殖生物生长环境的一种或几种无机或有机化学物质的混合物及其制剂。</w:t>
      </w:r>
    </w:p>
    <w:p w14:paraId="2626D21A">
      <w:pPr>
        <w:pStyle w:val="229"/>
        <w:spacing w:line="276" w:lineRule="auto"/>
        <w:ind w:left="420" w:hanging="420" w:hangingChars="200"/>
        <w:rPr>
          <w:rFonts w:ascii="Times New Roman" w:eastAsia="黑体"/>
        </w:rPr>
      </w:pPr>
      <w:r>
        <w:rPr>
          <w:rFonts w:ascii="黑体" w:hAnsi="黑体" w:eastAsia="黑体"/>
        </w:rPr>
        <w:br w:type="textWrapping"/>
      </w:r>
      <w:r>
        <w:rPr>
          <w:rFonts w:ascii="Times New Roman" w:eastAsia="黑体"/>
        </w:rPr>
        <w:t>急性毒性 acute toxicity</w:t>
      </w:r>
    </w:p>
    <w:p w14:paraId="7D3672EE">
      <w:pPr>
        <w:pStyle w:val="62"/>
        <w:spacing w:line="276" w:lineRule="auto"/>
        <w:ind w:firstLine="420"/>
        <w:rPr>
          <w:rFonts w:ascii="Times New Roman"/>
        </w:rPr>
      </w:pPr>
      <w:r>
        <w:rPr>
          <w:rFonts w:ascii="Times New Roman"/>
        </w:rPr>
        <w:t>水产养殖动物一次或96</w:t>
      </w:r>
      <w:r>
        <w:rPr>
          <w:rFonts w:hint="eastAsia" w:ascii="Times New Roman"/>
        </w:rPr>
        <w:t xml:space="preserve"> </w:t>
      </w:r>
      <w:r>
        <w:rPr>
          <w:rFonts w:ascii="Times New Roman"/>
        </w:rPr>
        <w:t>h内多次接触一定剂量的受试水产养殖调水用品（化学类）后一定时间内出现毒性反应的试验。</w:t>
      </w:r>
    </w:p>
    <w:p w14:paraId="08CD3050">
      <w:pPr>
        <w:pStyle w:val="229"/>
        <w:spacing w:line="276" w:lineRule="auto"/>
        <w:ind w:left="420" w:hanging="420" w:hangingChars="200"/>
        <w:rPr>
          <w:rFonts w:ascii="Times New Roman" w:eastAsia="黑体"/>
        </w:rPr>
      </w:pPr>
      <w:r>
        <w:rPr>
          <w:rFonts w:ascii="黑体" w:hAnsi="黑体" w:eastAsia="黑体"/>
        </w:rPr>
        <w:br w:type="textWrapping"/>
      </w:r>
      <w:r>
        <w:rPr>
          <w:rFonts w:ascii="Times New Roman" w:eastAsia="黑体"/>
        </w:rPr>
        <w:t>半数致死浓度half lethal concentration</w:t>
      </w:r>
      <w:r>
        <w:rPr>
          <w:rFonts w:hint="eastAsia" w:ascii="Times New Roman" w:eastAsia="黑体"/>
        </w:rPr>
        <w:t>（</w:t>
      </w:r>
      <w:r>
        <w:rPr>
          <w:rFonts w:ascii="Times New Roman" w:eastAsia="黑体"/>
        </w:rPr>
        <w:t>LC</w:t>
      </w:r>
      <w:r>
        <w:rPr>
          <w:rFonts w:ascii="Times New Roman" w:eastAsia="黑体"/>
          <w:vertAlign w:val="subscript"/>
        </w:rPr>
        <w:t>50</w:t>
      </w:r>
      <w:r>
        <w:rPr>
          <w:rFonts w:hint="eastAsia" w:ascii="Times New Roman" w:eastAsia="黑体"/>
        </w:rPr>
        <w:t>）</w:t>
      </w:r>
    </w:p>
    <w:p w14:paraId="350D91F5">
      <w:pPr>
        <w:pStyle w:val="62"/>
        <w:spacing w:line="276" w:lineRule="auto"/>
        <w:ind w:firstLine="420"/>
      </w:pPr>
      <w:r>
        <w:rPr>
          <w:rFonts w:ascii="Times New Roman"/>
        </w:rPr>
        <w:t>引起50%的受试水产养殖动物</w:t>
      </w:r>
      <w:r>
        <w:rPr>
          <w:rFonts w:hint="eastAsia"/>
        </w:rPr>
        <w:t>死亡的受试水产养殖调水用品（化学类）浓度，以</w:t>
      </w:r>
      <w:r>
        <w:rPr>
          <w:rFonts w:ascii="Times New Roman"/>
        </w:rPr>
        <w:t>LC</w:t>
      </w:r>
      <w:r>
        <w:rPr>
          <w:rFonts w:ascii="Times New Roman"/>
          <w:vertAlign w:val="subscript"/>
        </w:rPr>
        <w:t>50</w:t>
      </w:r>
      <w:r>
        <w:rPr>
          <w:rFonts w:hint="eastAsia"/>
        </w:rPr>
        <w:t>表示。</w:t>
      </w:r>
    </w:p>
    <w:p w14:paraId="5DB0A45A">
      <w:pPr>
        <w:pStyle w:val="229"/>
        <w:spacing w:line="276" w:lineRule="auto"/>
        <w:ind w:left="420" w:hanging="420" w:hangingChars="200"/>
        <w:rPr>
          <w:rFonts w:ascii="Times New Roman" w:eastAsia="黑体"/>
        </w:rPr>
      </w:pPr>
      <w:r>
        <w:rPr>
          <w:rFonts w:ascii="黑体" w:hAnsi="黑体" w:eastAsia="黑体"/>
        </w:rPr>
        <w:br w:type="textWrapping"/>
      </w:r>
      <w:r>
        <w:rPr>
          <w:rFonts w:ascii="Times New Roman" w:eastAsia="黑体"/>
        </w:rPr>
        <w:t>致死浓度</w:t>
      </w:r>
      <w:r>
        <w:rPr>
          <w:rFonts w:hint="eastAsia" w:ascii="Times New Roman" w:eastAsia="黑体"/>
          <w:lang w:val="en-US" w:eastAsia="zh-CN"/>
        </w:rPr>
        <w:t xml:space="preserve"> </w:t>
      </w:r>
      <w:r>
        <w:rPr>
          <w:rFonts w:ascii="Times New Roman" w:eastAsia="黑体"/>
        </w:rPr>
        <w:t>lethal concentration</w:t>
      </w:r>
      <w:r>
        <w:rPr>
          <w:rFonts w:hint="eastAsia" w:ascii="Times New Roman" w:eastAsia="黑体"/>
        </w:rPr>
        <w:t>（</w:t>
      </w:r>
      <w:r>
        <w:rPr>
          <w:rFonts w:hint="eastAsia" w:ascii="Times New Roman" w:eastAsia="黑体"/>
          <w:lang w:val="en-US" w:eastAsia="zh-CN"/>
        </w:rPr>
        <w:t>LC</w:t>
      </w:r>
      <w:r>
        <w:rPr>
          <w:rFonts w:hint="eastAsia" w:ascii="Times New Roman" w:eastAsia="黑体"/>
        </w:rPr>
        <w:t>）</w:t>
      </w:r>
    </w:p>
    <w:p w14:paraId="0DE0FD19">
      <w:pPr>
        <w:pStyle w:val="62"/>
        <w:spacing w:line="276" w:lineRule="auto"/>
        <w:ind w:firstLine="420"/>
        <w:rPr>
          <w:rFonts w:ascii="Times New Roman"/>
        </w:rPr>
      </w:pPr>
      <w:r>
        <w:rPr>
          <w:rFonts w:ascii="Times New Roman"/>
        </w:rPr>
        <w:t>引起一组水产养殖动物中全部（100%）死亡的受试水产养殖调水用品（化学类）最低浓度。</w:t>
      </w:r>
    </w:p>
    <w:p w14:paraId="1513F2F2">
      <w:pPr>
        <w:pStyle w:val="229"/>
        <w:spacing w:line="276" w:lineRule="auto"/>
        <w:ind w:left="420" w:hanging="420" w:hangingChars="200"/>
        <w:rPr>
          <w:rFonts w:ascii="Times New Roman" w:eastAsia="黑体"/>
        </w:rPr>
      </w:pPr>
      <w:r>
        <w:rPr>
          <w:rFonts w:ascii="黑体" w:hAnsi="黑体" w:eastAsia="黑体"/>
        </w:rPr>
        <w:br w:type="textWrapping"/>
      </w:r>
      <w:r>
        <w:rPr>
          <w:rFonts w:ascii="Times New Roman" w:eastAsia="黑体"/>
        </w:rPr>
        <w:t>安全浓度 safe concentration</w:t>
      </w:r>
    </w:p>
    <w:p w14:paraId="78BDF62D">
      <w:pPr>
        <w:pStyle w:val="62"/>
        <w:spacing w:line="276" w:lineRule="auto"/>
        <w:ind w:firstLine="420"/>
      </w:pPr>
      <w:r>
        <w:rPr>
          <w:rFonts w:hint="eastAsia"/>
        </w:rPr>
        <w:t>引起一组水产养殖动物中个体死亡同空白对照组比较无统计学差异的受试水产养殖调水用品（化学类）最高浓度。</w:t>
      </w:r>
    </w:p>
    <w:p w14:paraId="4197DC31">
      <w:pPr>
        <w:pStyle w:val="229"/>
        <w:spacing w:line="276" w:lineRule="auto"/>
        <w:ind w:left="420" w:hanging="420" w:hangingChars="200"/>
        <w:rPr>
          <w:rFonts w:hint="eastAsia" w:ascii="黑体" w:hAnsi="黑体" w:eastAsia="黑体"/>
        </w:rPr>
      </w:pPr>
      <w:r>
        <w:rPr>
          <w:rFonts w:ascii="黑体" w:hAnsi="黑体" w:eastAsia="黑体"/>
        </w:rPr>
        <w:br w:type="textWrapping"/>
      </w:r>
      <w:r>
        <w:rPr>
          <w:rFonts w:ascii="Times New Roman" w:eastAsia="黑体"/>
        </w:rPr>
        <w:t>耐受浓度 maximum tolerated concentration</w:t>
      </w:r>
    </w:p>
    <w:p w14:paraId="160AE19E">
      <w:pPr>
        <w:pStyle w:val="237"/>
        <w:tabs>
          <w:tab w:val="center" w:pos="4201"/>
          <w:tab w:val="right" w:leader="dot" w:pos="9298"/>
        </w:tabs>
        <w:spacing w:line="276" w:lineRule="auto"/>
        <w:rPr>
          <w:rFonts w:hint="eastAsia"/>
        </w:rPr>
      </w:pPr>
      <w:r>
        <w:rPr>
          <w:rFonts w:hint="eastAsia"/>
        </w:rPr>
        <w:t>在一定条件下，水产养殖动物能够持续存活于某种水产养殖调水用品（化学类）使用后的水体而不产生显著不良影响的最高浓度。</w:t>
      </w:r>
    </w:p>
    <w:p w14:paraId="3559AEF3">
      <w:pPr>
        <w:pStyle w:val="237"/>
        <w:tabs>
          <w:tab w:val="center" w:pos="4201"/>
          <w:tab w:val="right" w:leader="dot" w:pos="9298"/>
        </w:tabs>
        <w:ind w:firstLine="0" w:firstLineChars="0"/>
        <w:rPr>
          <w:rFonts w:hint="eastAsia" w:ascii="黑体" w:hAnsi="黑体" w:eastAsia="黑体" w:cs="Times New Roman"/>
          <w:lang w:eastAsia="zh-CN"/>
        </w:rPr>
      </w:pPr>
      <w:r>
        <w:rPr>
          <w:rFonts w:hint="eastAsia" w:ascii="黑体" w:hAnsi="黑体" w:eastAsia="黑体" w:cs="Times New Roman"/>
        </w:rPr>
        <w:t>3.</w:t>
      </w:r>
      <w:r>
        <w:rPr>
          <w:rFonts w:hint="eastAsia" w:ascii="黑体" w:hAnsi="黑体" w:eastAsia="黑体" w:cs="Times New Roman"/>
          <w:lang w:val="en-US" w:eastAsia="zh-CN"/>
        </w:rPr>
        <w:t>7</w:t>
      </w:r>
    </w:p>
    <w:p w14:paraId="4EEC2316">
      <w:pPr>
        <w:pStyle w:val="237"/>
        <w:tabs>
          <w:tab w:val="center" w:pos="4201"/>
          <w:tab w:val="right" w:leader="dot" w:pos="9298"/>
        </w:tabs>
        <w:spacing w:line="276" w:lineRule="auto"/>
        <w:rPr>
          <w:rFonts w:ascii="Times New Roman" w:hAnsi="Times New Roman" w:eastAsia="黑体" w:cs="Times New Roman"/>
        </w:rPr>
      </w:pPr>
      <w:r>
        <w:rPr>
          <w:rFonts w:ascii="Times New Roman" w:hAnsi="Times New Roman" w:eastAsia="黑体" w:cs="Times New Roman"/>
        </w:rPr>
        <w:t>半数有效浓度 median effective concentration（EC</w:t>
      </w:r>
      <w:r>
        <w:rPr>
          <w:rFonts w:ascii="Times New Roman" w:hAnsi="Times New Roman" w:eastAsia="黑体" w:cs="Times New Roman"/>
          <w:vertAlign w:val="subscript"/>
        </w:rPr>
        <w:t>50</w:t>
      </w:r>
      <w:r>
        <w:rPr>
          <w:rFonts w:ascii="Times New Roman" w:hAnsi="Times New Roman" w:eastAsia="黑体" w:cs="Times New Roman"/>
        </w:rPr>
        <w:t>）</w:t>
      </w:r>
    </w:p>
    <w:p w14:paraId="5ABFCCB9">
      <w:pPr>
        <w:pStyle w:val="237"/>
        <w:tabs>
          <w:tab w:val="center" w:pos="4201"/>
          <w:tab w:val="right" w:leader="dot" w:pos="9298"/>
        </w:tabs>
        <w:spacing w:line="276" w:lineRule="auto"/>
        <w:rPr>
          <w:rFonts w:ascii="Times New Roman" w:hAnsi="Times New Roman" w:cs="Times New Roman"/>
        </w:rPr>
      </w:pPr>
      <w:r>
        <w:rPr>
          <w:rFonts w:ascii="Times New Roman" w:hAnsi="Times New Roman" w:cs="Times New Roman"/>
        </w:rPr>
        <w:t>在24</w:t>
      </w:r>
      <w:r>
        <w:rPr>
          <w:rFonts w:hint="eastAsia" w:ascii="Times New Roman" w:hAnsi="Times New Roman" w:cs="Times New Roman"/>
        </w:rPr>
        <w:t xml:space="preserve"> </w:t>
      </w:r>
      <w:r>
        <w:rPr>
          <w:rFonts w:ascii="Times New Roman" w:hAnsi="Times New Roman" w:cs="Times New Roman"/>
        </w:rPr>
        <w:t>h或48</w:t>
      </w:r>
      <w:r>
        <w:rPr>
          <w:rFonts w:hint="eastAsia" w:ascii="Times New Roman" w:hAnsi="Times New Roman" w:cs="Times New Roman"/>
        </w:rPr>
        <w:t xml:space="preserve"> </w:t>
      </w:r>
      <w:r>
        <w:rPr>
          <w:rFonts w:ascii="Times New Roman" w:hAnsi="Times New Roman" w:cs="Times New Roman"/>
        </w:rPr>
        <w:t>h内50%暴露在实验液中大型溞活动受抑制（包括死亡）的浓度。</w:t>
      </w:r>
    </w:p>
    <w:p w14:paraId="2FF80452">
      <w:pPr>
        <w:pStyle w:val="110"/>
        <w:spacing w:before="240" w:after="240"/>
      </w:pPr>
      <w:bookmarkStart w:id="42" w:name="_Hlk178005138"/>
      <w:r>
        <w:rPr>
          <w:rFonts w:hint="eastAsia"/>
          <w:lang w:val="en-US" w:eastAsia="zh-CN"/>
        </w:rPr>
        <w:t>安全性评价的基本</w:t>
      </w:r>
      <w:r>
        <w:rPr>
          <w:rFonts w:hint="eastAsia"/>
        </w:rPr>
        <w:t>要</w:t>
      </w:r>
      <w:bookmarkEnd w:id="42"/>
      <w:r>
        <w:rPr>
          <w:rFonts w:hint="eastAsia"/>
        </w:rPr>
        <w:t>求</w:t>
      </w:r>
    </w:p>
    <w:p w14:paraId="669DFCE4">
      <w:pPr>
        <w:pStyle w:val="111"/>
        <w:spacing w:before="0" w:beforeLines="0" w:after="0" w:afterLines="0" w:line="276" w:lineRule="auto"/>
      </w:pPr>
      <w:r>
        <w:rPr>
          <w:rFonts w:hint="eastAsia" w:ascii="宋体" w:eastAsia="宋体"/>
        </w:rPr>
        <w:t>经专业机构检测，符合产品规定质量标准。</w:t>
      </w:r>
    </w:p>
    <w:p w14:paraId="41136FAD">
      <w:pPr>
        <w:pStyle w:val="168"/>
        <w:spacing w:line="276" w:lineRule="auto"/>
      </w:pPr>
      <w:r>
        <w:rPr>
          <w:rFonts w:hint="eastAsia"/>
        </w:rPr>
        <w:t>添加辅料的样品，应提供辅料的配方及其物理、化学性质等资料。</w:t>
      </w:r>
    </w:p>
    <w:p w14:paraId="667942BB">
      <w:pPr>
        <w:pStyle w:val="110"/>
        <w:spacing w:before="240" w:after="240"/>
      </w:pPr>
      <w:r>
        <w:rPr>
          <w:rFonts w:hint="eastAsia"/>
        </w:rPr>
        <w:t>评价内容与方法</w:t>
      </w:r>
    </w:p>
    <w:p w14:paraId="5D36BADF">
      <w:pPr>
        <w:pStyle w:val="171"/>
        <w:spacing w:line="276" w:lineRule="auto"/>
      </w:pPr>
      <w:r>
        <w:rPr>
          <w:rFonts w:hint="eastAsia"/>
        </w:rPr>
        <w:t>安全性评价实验动物：以具有代表性的水产养殖动物为实验动物。</w:t>
      </w:r>
    </w:p>
    <w:p w14:paraId="6BABBB61">
      <w:pPr>
        <w:pStyle w:val="171"/>
        <w:spacing w:line="276" w:lineRule="auto"/>
      </w:pPr>
      <w:r>
        <w:rPr>
          <w:rFonts w:hint="eastAsia"/>
        </w:rPr>
        <w:t>水产养殖调水用品（化学类）对水产养殖动物的安全性评价，具体见表1。</w:t>
      </w:r>
    </w:p>
    <w:p w14:paraId="55A20E5D">
      <w:pPr>
        <w:pStyle w:val="171"/>
        <w:spacing w:line="276" w:lineRule="auto"/>
      </w:pPr>
      <w:r>
        <w:rPr>
          <w:rFonts w:hint="eastAsia"/>
        </w:rPr>
        <w:t>水产养殖调水用品（化学类）对养殖环境安全性的评价，具体见表1。</w:t>
      </w:r>
    </w:p>
    <w:p w14:paraId="48CC4D49">
      <w:pPr>
        <w:pStyle w:val="171"/>
        <w:numPr>
          <w:ilvl w:val="3"/>
          <w:numId w:val="0"/>
        </w:numPr>
      </w:pPr>
    </w:p>
    <w:p w14:paraId="5EB4BDC0">
      <w:pPr>
        <w:pStyle w:val="62"/>
        <w:ind w:firstLine="420"/>
        <w:jc w:val="center"/>
      </w:pPr>
      <w:r>
        <w:rPr>
          <w:rFonts w:hint="eastAsia"/>
        </w:rPr>
        <w:t xml:space="preserve">表1 </w:t>
      </w:r>
      <w:r>
        <w:t>评测项目与评价方法</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36"/>
        <w:gridCol w:w="2585"/>
        <w:gridCol w:w="3234"/>
      </w:tblGrid>
      <w:tr w14:paraId="1C492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2736" w:type="dxa"/>
            <w:tcBorders>
              <w:top w:val="single" w:color="auto" w:sz="8" w:space="0"/>
              <w:bottom w:val="single" w:color="auto" w:sz="8" w:space="0"/>
            </w:tcBorders>
            <w:vAlign w:val="center"/>
          </w:tcPr>
          <w:p w14:paraId="5BD6CB6A">
            <w:pPr>
              <w:pStyle w:val="62"/>
              <w:ind w:firstLine="420"/>
            </w:pPr>
            <w:r>
              <w:rPr>
                <w:rFonts w:hint="eastAsia"/>
              </w:rPr>
              <w:t>评价内容</w:t>
            </w:r>
          </w:p>
        </w:tc>
        <w:tc>
          <w:tcPr>
            <w:tcW w:w="2585" w:type="dxa"/>
            <w:tcBorders>
              <w:top w:val="single" w:color="auto" w:sz="8" w:space="0"/>
              <w:bottom w:val="single" w:color="auto" w:sz="8" w:space="0"/>
            </w:tcBorders>
            <w:vAlign w:val="center"/>
          </w:tcPr>
          <w:p w14:paraId="12C3A9A5">
            <w:pPr>
              <w:pStyle w:val="62"/>
              <w:ind w:firstLine="420"/>
            </w:pPr>
            <w:r>
              <w:rPr>
                <w:rFonts w:hint="eastAsia"/>
              </w:rPr>
              <w:t>评价项目</w:t>
            </w:r>
          </w:p>
        </w:tc>
        <w:tc>
          <w:tcPr>
            <w:tcW w:w="3234" w:type="dxa"/>
            <w:tcBorders>
              <w:top w:val="single" w:color="auto" w:sz="8" w:space="0"/>
              <w:bottom w:val="single" w:color="auto" w:sz="8" w:space="0"/>
            </w:tcBorders>
            <w:vAlign w:val="center"/>
          </w:tcPr>
          <w:p w14:paraId="03B00A14">
            <w:pPr>
              <w:pStyle w:val="62"/>
              <w:ind w:firstLine="420"/>
            </w:pPr>
            <w:r>
              <w:rPr>
                <w:rFonts w:hint="eastAsia"/>
              </w:rPr>
              <w:t>评价方法</w:t>
            </w:r>
          </w:p>
        </w:tc>
      </w:tr>
      <w:tr w14:paraId="4E63E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2736" w:type="dxa"/>
            <w:tcBorders>
              <w:top w:val="single" w:color="auto" w:sz="8" w:space="0"/>
            </w:tcBorders>
            <w:vAlign w:val="center"/>
          </w:tcPr>
          <w:p w14:paraId="056507D9">
            <w:pPr>
              <w:pStyle w:val="62"/>
              <w:ind w:firstLine="0" w:firstLineChars="0"/>
            </w:pPr>
            <w:r>
              <w:rPr>
                <w:rFonts w:hint="eastAsia"/>
              </w:rPr>
              <w:t>对养殖动物安全性的评价</w:t>
            </w:r>
          </w:p>
        </w:tc>
        <w:tc>
          <w:tcPr>
            <w:tcW w:w="2585" w:type="dxa"/>
            <w:tcBorders>
              <w:top w:val="single" w:color="auto" w:sz="8" w:space="0"/>
            </w:tcBorders>
            <w:vAlign w:val="center"/>
          </w:tcPr>
          <w:p w14:paraId="3C32B727">
            <w:pPr>
              <w:pStyle w:val="62"/>
              <w:ind w:firstLine="0" w:firstLineChars="0"/>
              <w:rPr>
                <w:rFonts w:ascii="Times New Roman"/>
              </w:rPr>
            </w:pPr>
            <w:r>
              <w:rPr>
                <w:rFonts w:ascii="Times New Roman"/>
              </w:rPr>
              <w:t>水产养殖动物的急性毒性试验、耐受性实验。</w:t>
            </w:r>
          </w:p>
        </w:tc>
        <w:tc>
          <w:tcPr>
            <w:tcW w:w="3234" w:type="dxa"/>
            <w:tcBorders>
              <w:top w:val="single" w:color="auto" w:sz="8" w:space="0"/>
            </w:tcBorders>
            <w:vAlign w:val="center"/>
          </w:tcPr>
          <w:p w14:paraId="52D9B45F">
            <w:pPr>
              <w:pStyle w:val="62"/>
              <w:ind w:firstLine="0" w:firstLineChars="0"/>
              <w:rPr>
                <w:rFonts w:ascii="Times New Roman"/>
              </w:rPr>
            </w:pPr>
            <w:r>
              <w:rPr>
                <w:rFonts w:ascii="Times New Roman"/>
              </w:rPr>
              <w:t>急性毒性试验按照附录A执行，耐受性实验按照附录B执行。</w:t>
            </w:r>
          </w:p>
        </w:tc>
      </w:tr>
      <w:tr w14:paraId="4E7C2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0" w:type="auto"/>
            <w:vAlign w:val="center"/>
          </w:tcPr>
          <w:p w14:paraId="528DE57A">
            <w:pPr>
              <w:pStyle w:val="62"/>
              <w:ind w:firstLine="0" w:firstLineChars="0"/>
            </w:pPr>
            <w:r>
              <w:rPr>
                <w:rFonts w:hint="eastAsia"/>
              </w:rPr>
              <w:t>养殖环境安全性的评价</w:t>
            </w:r>
          </w:p>
        </w:tc>
        <w:tc>
          <w:tcPr>
            <w:tcW w:w="2585" w:type="dxa"/>
            <w:vAlign w:val="center"/>
          </w:tcPr>
          <w:p w14:paraId="6AC1B6B5">
            <w:pPr>
              <w:pStyle w:val="62"/>
              <w:ind w:firstLine="0" w:firstLineChars="0"/>
            </w:pPr>
            <w:r>
              <w:rPr>
                <w:rFonts w:hint="eastAsia"/>
              </w:rPr>
              <w:t>大型溞的急性毒性试验</w:t>
            </w:r>
          </w:p>
        </w:tc>
        <w:tc>
          <w:tcPr>
            <w:tcW w:w="3234" w:type="dxa"/>
            <w:vAlign w:val="center"/>
          </w:tcPr>
          <w:p w14:paraId="5EB295CC">
            <w:pPr>
              <w:pStyle w:val="62"/>
              <w:ind w:firstLine="0" w:firstLineChars="0"/>
            </w:pPr>
            <w:r>
              <w:rPr>
                <w:rFonts w:ascii="Times New Roman"/>
              </w:rPr>
              <w:t>按照GB/T 16125的规定执行。按附录执行。</w:t>
            </w:r>
          </w:p>
        </w:tc>
      </w:tr>
    </w:tbl>
    <w:p w14:paraId="15DFDB91">
      <w:pPr>
        <w:pStyle w:val="62"/>
        <w:ind w:firstLine="0" w:firstLineChars="0"/>
      </w:pPr>
    </w:p>
    <w:p w14:paraId="6B38D108">
      <w:pPr>
        <w:pStyle w:val="110"/>
        <w:spacing w:before="240" w:after="240"/>
      </w:pPr>
      <w:r>
        <w:rPr>
          <w:rFonts w:hint="eastAsia"/>
        </w:rPr>
        <w:t>评价程序</w:t>
      </w:r>
    </w:p>
    <w:p w14:paraId="08437B44">
      <w:pPr>
        <w:pStyle w:val="168"/>
        <w:spacing w:line="276" w:lineRule="auto"/>
        <w:rPr>
          <w:rFonts w:ascii="黑体" w:eastAsia="黑体"/>
        </w:rPr>
      </w:pPr>
      <w:r>
        <w:rPr>
          <w:rFonts w:hint="eastAsia"/>
        </w:rPr>
        <w:t>按水产养殖调水用品（化学类）的质量要求完成三批次样品制作，选择第三方或权威检测机构对产品检测，出具检测报告。</w:t>
      </w:r>
    </w:p>
    <w:p w14:paraId="1AD1E41F">
      <w:pPr>
        <w:pStyle w:val="168"/>
        <w:spacing w:line="276" w:lineRule="auto"/>
      </w:pPr>
      <w:r>
        <w:rPr>
          <w:rFonts w:hint="eastAsia"/>
        </w:rPr>
        <w:t>根据水产养殖调水用品（化学类）的特性，选择专业机构开展功能评价，制定安全性评价方案，选用相应的评价项目及方法，出具并提交产品安全性评价报告。</w:t>
      </w:r>
    </w:p>
    <w:p w14:paraId="2760B11E">
      <w:pPr>
        <w:pStyle w:val="168"/>
        <w:spacing w:line="276" w:lineRule="auto"/>
      </w:pPr>
      <w:r>
        <w:rPr>
          <w:rFonts w:hint="eastAsia"/>
        </w:rPr>
        <w:t>生产单位将拟投产水产养殖调水用品（化学类）的安全性评价报告提交至水产养殖调水用品协作机制秘书处备案。</w:t>
      </w:r>
    </w:p>
    <w:p w14:paraId="3D8F7703">
      <w:pPr>
        <w:pStyle w:val="110"/>
        <w:spacing w:before="240" w:after="240"/>
      </w:pPr>
      <w:r>
        <w:rPr>
          <w:rFonts w:hint="eastAsia"/>
        </w:rPr>
        <w:t>评价结果</w:t>
      </w:r>
    </w:p>
    <w:p w14:paraId="4743A1F8">
      <w:pPr>
        <w:pStyle w:val="62"/>
        <w:spacing w:line="276" w:lineRule="auto"/>
        <w:ind w:firstLine="0" w:firstLineChars="0"/>
        <w:rPr>
          <w:rFonts w:ascii="黑体" w:eastAsia="黑体"/>
        </w:rPr>
      </w:pPr>
      <w:r>
        <w:rPr>
          <w:rFonts w:hint="eastAsia" w:ascii="黑体" w:eastAsia="黑体"/>
        </w:rPr>
        <w:t>7.1 对水产养殖动物的安全性评价结果</w:t>
      </w:r>
    </w:p>
    <w:p w14:paraId="2883DDC0">
      <w:pPr>
        <w:pStyle w:val="62"/>
        <w:spacing w:line="276" w:lineRule="auto"/>
        <w:ind w:firstLine="420"/>
        <w:rPr>
          <w:rFonts w:ascii="Times New Roman"/>
        </w:rPr>
      </w:pPr>
      <w:r>
        <w:rPr>
          <w:rFonts w:ascii="Times New Roman"/>
        </w:rPr>
        <w:t>依据水产养殖调水用品（化学类）对水产养殖动物急性毒性试验计算其对水产养殖动物的半数致死浓度、致死浓度、安全浓度、耐受浓度。</w:t>
      </w:r>
    </w:p>
    <w:p w14:paraId="6DDAD849">
      <w:pPr>
        <w:pStyle w:val="62"/>
        <w:spacing w:line="276" w:lineRule="auto"/>
        <w:ind w:firstLine="0" w:firstLineChars="0"/>
        <w:rPr>
          <w:rFonts w:ascii="黑体" w:eastAsia="黑体"/>
        </w:rPr>
      </w:pPr>
      <w:r>
        <w:rPr>
          <w:rFonts w:hint="eastAsia" w:ascii="黑体" w:eastAsia="黑体"/>
        </w:rPr>
        <w:t>7.2 对养殖环境的安全性评价结果</w:t>
      </w:r>
    </w:p>
    <w:p w14:paraId="0CD2CA03">
      <w:pPr>
        <w:pStyle w:val="62"/>
        <w:spacing w:line="276" w:lineRule="auto"/>
        <w:ind w:firstLine="420"/>
        <w:rPr>
          <w:rFonts w:ascii="Times New Roman"/>
        </w:rPr>
      </w:pPr>
      <w:r>
        <w:rPr>
          <w:rFonts w:ascii="Times New Roman"/>
        </w:rPr>
        <w:t>依据水产养殖调水用品（化学类）对大型溞的急性毒性试验计算其对大型溞的半数有效浓度。</w:t>
      </w:r>
    </w:p>
    <w:p w14:paraId="394140E6">
      <w:pPr>
        <w:pStyle w:val="110"/>
        <w:spacing w:before="240" w:after="240"/>
      </w:pPr>
      <w:r>
        <w:rPr>
          <w:rFonts w:hint="eastAsia"/>
        </w:rPr>
        <w:t>报告和资料存档</w:t>
      </w:r>
    </w:p>
    <w:p w14:paraId="2FD6E5AF">
      <w:pPr>
        <w:pStyle w:val="62"/>
        <w:spacing w:line="276" w:lineRule="auto"/>
        <w:ind w:firstLine="420"/>
      </w:pPr>
      <w:r>
        <w:rPr>
          <w:rFonts w:hint="eastAsia"/>
        </w:rPr>
        <w:t>每个评价试验必须单独形成最终报告。每个试验最终报告中应包含试验概述和报告正文。</w:t>
      </w:r>
    </w:p>
    <w:p w14:paraId="1A3E6C71">
      <w:pPr>
        <w:pStyle w:val="168"/>
        <w:spacing w:line="276" w:lineRule="auto"/>
      </w:pPr>
      <w:r>
        <w:rPr>
          <w:rFonts w:hint="eastAsia"/>
        </w:rPr>
        <w:t>在安全性评价实施过程中，数据记录应真实、准确、完整、规范、清晰，并妥善保管。</w:t>
      </w:r>
    </w:p>
    <w:p w14:paraId="534DB14E">
      <w:pPr>
        <w:pStyle w:val="168"/>
        <w:spacing w:line="276" w:lineRule="auto"/>
      </w:pPr>
      <w:r>
        <w:rPr>
          <w:rFonts w:hint="eastAsia"/>
        </w:rPr>
        <w:t>数据的有效位数以所用仪器的精度为准，采用国家法定计量单位和国家推荐使用的单位。</w:t>
      </w:r>
    </w:p>
    <w:p w14:paraId="3A5899E7">
      <w:pPr>
        <w:pStyle w:val="168"/>
        <w:spacing w:line="276" w:lineRule="auto"/>
      </w:pPr>
      <w:r>
        <w:rPr>
          <w:rFonts w:hint="eastAsia"/>
        </w:rPr>
        <w:t>根据不同的试验设计采用相应的统计分析方法进行数据分析。</w:t>
      </w:r>
    </w:p>
    <w:p w14:paraId="639DA259">
      <w:pPr>
        <w:pStyle w:val="168"/>
        <w:spacing w:line="276" w:lineRule="auto"/>
      </w:pPr>
      <w:r>
        <w:rPr>
          <w:rFonts w:hint="eastAsia"/>
        </w:rPr>
        <w:t>评价报告至少应包括：</w:t>
      </w:r>
    </w:p>
    <w:p w14:paraId="3D04D5AE">
      <w:pPr>
        <w:pStyle w:val="180"/>
        <w:numPr>
          <w:ilvl w:val="0"/>
          <w:numId w:val="0"/>
        </w:numPr>
        <w:spacing w:line="276" w:lineRule="auto"/>
        <w:ind w:left="425"/>
        <w:rPr>
          <w:rFonts w:ascii="Times New Roman"/>
        </w:rPr>
      </w:pPr>
      <w:r>
        <w:rPr>
          <w:rFonts w:hint="eastAsia" w:ascii="Times New Roman"/>
        </w:rPr>
        <w:t>a）</w:t>
      </w:r>
      <w:r>
        <w:rPr>
          <w:rFonts w:ascii="Times New Roman"/>
        </w:rPr>
        <w:t>试验名称；</w:t>
      </w:r>
    </w:p>
    <w:p w14:paraId="5B96819B">
      <w:pPr>
        <w:pStyle w:val="180"/>
        <w:numPr>
          <w:ilvl w:val="0"/>
          <w:numId w:val="0"/>
        </w:numPr>
        <w:spacing w:line="276" w:lineRule="auto"/>
        <w:ind w:left="425"/>
        <w:rPr>
          <w:rFonts w:ascii="Times New Roman"/>
        </w:rPr>
      </w:pPr>
      <w:r>
        <w:rPr>
          <w:rFonts w:hint="eastAsia" w:ascii="Times New Roman"/>
        </w:rPr>
        <w:t>b）</w:t>
      </w:r>
      <w:r>
        <w:rPr>
          <w:rFonts w:ascii="Times New Roman"/>
        </w:rPr>
        <w:t>摘要；</w:t>
      </w:r>
    </w:p>
    <w:p w14:paraId="7D58C770">
      <w:pPr>
        <w:pStyle w:val="180"/>
        <w:numPr>
          <w:ilvl w:val="0"/>
          <w:numId w:val="0"/>
        </w:numPr>
        <w:spacing w:line="276" w:lineRule="auto"/>
        <w:ind w:left="425"/>
        <w:rPr>
          <w:rFonts w:ascii="Times New Roman"/>
        </w:rPr>
      </w:pPr>
      <w:r>
        <w:rPr>
          <w:rFonts w:hint="eastAsia" w:ascii="Times New Roman"/>
        </w:rPr>
        <w:t>c）</w:t>
      </w:r>
      <w:r>
        <w:rPr>
          <w:rFonts w:ascii="Times New Roman"/>
        </w:rPr>
        <w:t>试验目的；</w:t>
      </w:r>
    </w:p>
    <w:p w14:paraId="421E4C6D">
      <w:pPr>
        <w:pStyle w:val="180"/>
        <w:numPr>
          <w:ilvl w:val="0"/>
          <w:numId w:val="0"/>
        </w:numPr>
        <w:spacing w:line="276" w:lineRule="auto"/>
        <w:ind w:left="425"/>
        <w:rPr>
          <w:rFonts w:ascii="Times New Roman"/>
        </w:rPr>
      </w:pPr>
      <w:r>
        <w:rPr>
          <w:rFonts w:hint="eastAsia" w:ascii="Times New Roman"/>
        </w:rPr>
        <w:t>d）</w:t>
      </w:r>
      <w:r>
        <w:rPr>
          <w:rFonts w:ascii="Times New Roman"/>
        </w:rPr>
        <w:t>受试物；</w:t>
      </w:r>
    </w:p>
    <w:p w14:paraId="4CECA91E">
      <w:pPr>
        <w:pStyle w:val="180"/>
        <w:numPr>
          <w:ilvl w:val="0"/>
          <w:numId w:val="0"/>
        </w:numPr>
        <w:spacing w:line="276" w:lineRule="auto"/>
        <w:ind w:left="425"/>
        <w:rPr>
          <w:rFonts w:ascii="Times New Roman"/>
        </w:rPr>
      </w:pPr>
      <w:r>
        <w:rPr>
          <w:rFonts w:hint="eastAsia" w:ascii="Times New Roman"/>
        </w:rPr>
        <w:t>e）</w:t>
      </w:r>
      <w:r>
        <w:rPr>
          <w:rFonts w:ascii="Times New Roman"/>
        </w:rPr>
        <w:t>试验时间和地点；</w:t>
      </w:r>
    </w:p>
    <w:p w14:paraId="3ABAF71D">
      <w:pPr>
        <w:pStyle w:val="180"/>
        <w:numPr>
          <w:ilvl w:val="0"/>
          <w:numId w:val="0"/>
        </w:numPr>
        <w:spacing w:line="276" w:lineRule="auto"/>
        <w:ind w:left="425"/>
        <w:rPr>
          <w:rFonts w:ascii="Times New Roman"/>
        </w:rPr>
      </w:pPr>
      <w:r>
        <w:rPr>
          <w:rFonts w:hint="eastAsia" w:ascii="Times New Roman"/>
        </w:rPr>
        <w:t>f）</w:t>
      </w:r>
      <w:r>
        <w:rPr>
          <w:rFonts w:ascii="Times New Roman"/>
        </w:rPr>
        <w:t>试验材料和方法；</w:t>
      </w:r>
    </w:p>
    <w:p w14:paraId="224AEF89">
      <w:pPr>
        <w:pStyle w:val="180"/>
        <w:numPr>
          <w:ilvl w:val="0"/>
          <w:numId w:val="0"/>
        </w:numPr>
        <w:spacing w:line="276" w:lineRule="auto"/>
        <w:ind w:left="425"/>
        <w:rPr>
          <w:rFonts w:ascii="Times New Roman"/>
        </w:rPr>
      </w:pPr>
      <w:r>
        <w:rPr>
          <w:rFonts w:hint="eastAsia" w:ascii="Times New Roman"/>
        </w:rPr>
        <w:t>g）</w:t>
      </w:r>
      <w:r>
        <w:rPr>
          <w:rFonts w:ascii="Times New Roman"/>
        </w:rPr>
        <w:t>结果；</w:t>
      </w:r>
    </w:p>
    <w:p w14:paraId="5E70DDF7">
      <w:pPr>
        <w:pStyle w:val="180"/>
        <w:numPr>
          <w:ilvl w:val="0"/>
          <w:numId w:val="0"/>
        </w:numPr>
        <w:spacing w:line="276" w:lineRule="auto"/>
        <w:ind w:left="425"/>
        <w:rPr>
          <w:rFonts w:ascii="Times New Roman"/>
        </w:rPr>
      </w:pPr>
      <w:r>
        <w:rPr>
          <w:rFonts w:hint="eastAsia" w:ascii="Times New Roman"/>
        </w:rPr>
        <w:t>h）</w:t>
      </w:r>
      <w:r>
        <w:rPr>
          <w:rFonts w:ascii="Times New Roman"/>
        </w:rPr>
        <w:t>结论；</w:t>
      </w:r>
    </w:p>
    <w:p w14:paraId="1EB5E984">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hint="eastAsia" w:ascii="Times New Roman"/>
        </w:rPr>
      </w:pPr>
      <w:r>
        <w:rPr>
          <w:rFonts w:hint="eastAsia" w:ascii="Times New Roman"/>
        </w:rPr>
        <w:t>i）</w:t>
      </w:r>
      <w:r>
        <w:rPr>
          <w:rFonts w:hint="eastAsia" w:ascii="Times New Roman" w:hAnsi="Times New Roman"/>
        </w:rPr>
        <w:t>原始数据及相关的图表和照片；未纳入统计分析的数据或由于数据缺乏、数据丢失而无法评价的情况应具体说明；</w:t>
      </w:r>
    </w:p>
    <w:p w14:paraId="7116B2B0">
      <w:pPr>
        <w:pStyle w:val="180"/>
        <w:numPr>
          <w:ilvl w:val="0"/>
          <w:numId w:val="0"/>
        </w:numPr>
        <w:spacing w:line="276" w:lineRule="auto"/>
        <w:ind w:left="425"/>
        <w:rPr>
          <w:rFonts w:ascii="Times New Roman"/>
        </w:rPr>
      </w:pPr>
      <w:r>
        <w:rPr>
          <w:rFonts w:hint="eastAsia" w:ascii="Times New Roman"/>
        </w:rPr>
        <w:t>j）</w:t>
      </w:r>
      <w:r>
        <w:rPr>
          <w:rFonts w:ascii="Times New Roman"/>
        </w:rPr>
        <w:t>参考文献；</w:t>
      </w:r>
    </w:p>
    <w:p w14:paraId="6429F560">
      <w:pPr>
        <w:pStyle w:val="180"/>
        <w:numPr>
          <w:ilvl w:val="0"/>
          <w:numId w:val="0"/>
        </w:numPr>
        <w:spacing w:line="276" w:lineRule="auto"/>
        <w:ind w:left="425"/>
      </w:pPr>
      <w:r>
        <w:rPr>
          <w:rFonts w:hint="eastAsia" w:ascii="Times New Roman"/>
          <w:lang w:val="en-US" w:eastAsia="zh-CN"/>
        </w:rPr>
        <w:t>k</w:t>
      </w:r>
      <w:r>
        <w:rPr>
          <w:rFonts w:hint="eastAsia" w:ascii="Times New Roman"/>
        </w:rPr>
        <w:t>）</w:t>
      </w:r>
      <w:r>
        <w:rPr>
          <w:rFonts w:ascii="Times New Roman"/>
        </w:rPr>
        <w:t>试验机构和操作人员，包括试验机构的名称，试验操作人员、试验负责人和报告签发人的签名，报告签发时间，加盖签发机构的单位公章或专业实验室印章；外检数据应提供检测机构出具的检测报告</w:t>
      </w:r>
      <w:r>
        <w:rPr>
          <w:rFonts w:hint="eastAsia"/>
        </w:rPr>
        <w:t>。</w:t>
      </w:r>
    </w:p>
    <w:p w14:paraId="3BB3A553">
      <w:pPr>
        <w:pStyle w:val="168"/>
        <w:spacing w:line="276" w:lineRule="auto"/>
        <w:rPr>
          <w:rFonts w:ascii="Times New Roman"/>
        </w:rPr>
      </w:pPr>
      <w:r>
        <w:rPr>
          <w:rFonts w:hint="eastAsia" w:ascii="Times New Roman"/>
        </w:rPr>
        <w:t>应对试验报告每页进行编码，格式为“第 页，共 页”，并加盖骑缝章，确保报告的完整性。</w:t>
      </w:r>
    </w:p>
    <w:p w14:paraId="68360FF9">
      <w:pPr>
        <w:pStyle w:val="168"/>
        <w:spacing w:line="276" w:lineRule="auto"/>
        <w:rPr>
          <w:rFonts w:ascii="Times New Roman"/>
        </w:rPr>
      </w:pPr>
      <w:r>
        <w:rPr>
          <w:rFonts w:ascii="Times New Roman"/>
        </w:rPr>
        <w:t>安全性</w:t>
      </w:r>
      <w:bookmarkStart w:id="46" w:name="_GoBack"/>
      <w:bookmarkEnd w:id="46"/>
      <w:r>
        <w:rPr>
          <w:rFonts w:ascii="Times New Roman"/>
        </w:rPr>
        <w:t>评价报告、原始记录、图表和照片、试验方案及其检测报告等原始资料应存档备查，保存时间一般不得少于5年。受试物样品在有效期应有留样。</w:t>
      </w:r>
    </w:p>
    <w:p w14:paraId="4F1E95B4">
      <w:pPr>
        <w:pStyle w:val="62"/>
        <w:ind w:firstLine="420"/>
      </w:pPr>
    </w:p>
    <w:p w14:paraId="06C71055">
      <w:pPr>
        <w:pStyle w:val="62"/>
        <w:ind w:firstLine="420"/>
      </w:pPr>
    </w:p>
    <w:p w14:paraId="0B9C23C4">
      <w:pPr>
        <w:pStyle w:val="62"/>
        <w:ind w:firstLine="420"/>
      </w:pPr>
    </w:p>
    <w:p w14:paraId="5ADF70A2">
      <w:pPr>
        <w:pStyle w:val="62"/>
        <w:ind w:firstLine="420"/>
      </w:pPr>
    </w:p>
    <w:p w14:paraId="57817CE2">
      <w:pPr>
        <w:pStyle w:val="62"/>
        <w:ind w:firstLine="420"/>
      </w:pPr>
    </w:p>
    <w:p w14:paraId="196393DD">
      <w:pPr>
        <w:pStyle w:val="62"/>
        <w:ind w:firstLine="420"/>
      </w:pPr>
    </w:p>
    <w:p w14:paraId="71BC9CA1">
      <w:pPr>
        <w:pStyle w:val="62"/>
        <w:ind w:firstLine="420"/>
      </w:pPr>
    </w:p>
    <w:p w14:paraId="10F50A0D">
      <w:pPr>
        <w:pStyle w:val="62"/>
        <w:ind w:firstLine="420"/>
      </w:pPr>
    </w:p>
    <w:p w14:paraId="6A886D8B">
      <w:pPr>
        <w:pStyle w:val="62"/>
        <w:ind w:firstLine="420"/>
      </w:pPr>
    </w:p>
    <w:p w14:paraId="64104BEB">
      <w:pPr>
        <w:pStyle w:val="62"/>
        <w:ind w:firstLine="420"/>
      </w:pPr>
    </w:p>
    <w:p w14:paraId="07820B65">
      <w:pPr>
        <w:pStyle w:val="62"/>
        <w:ind w:firstLine="420"/>
      </w:pPr>
    </w:p>
    <w:p w14:paraId="7C6F0D33">
      <w:pPr>
        <w:pStyle w:val="62"/>
        <w:ind w:firstLine="420"/>
      </w:pPr>
    </w:p>
    <w:p w14:paraId="3CDBCC67">
      <w:pPr>
        <w:pStyle w:val="62"/>
        <w:ind w:firstLine="420"/>
      </w:pPr>
    </w:p>
    <w:p w14:paraId="5300E49E">
      <w:pPr>
        <w:pStyle w:val="62"/>
        <w:ind w:firstLine="420"/>
      </w:pPr>
    </w:p>
    <w:p w14:paraId="439A87AD">
      <w:pPr>
        <w:pStyle w:val="62"/>
        <w:ind w:firstLine="420"/>
      </w:pPr>
    </w:p>
    <w:p w14:paraId="5C4150C4">
      <w:pPr>
        <w:pStyle w:val="62"/>
        <w:ind w:firstLine="420"/>
      </w:pPr>
    </w:p>
    <w:p w14:paraId="6B18B8FB">
      <w:pPr>
        <w:pStyle w:val="62"/>
        <w:ind w:firstLine="420"/>
      </w:pPr>
    </w:p>
    <w:p w14:paraId="7DEDC0F7">
      <w:pPr>
        <w:pStyle w:val="62"/>
        <w:ind w:firstLine="420"/>
      </w:pPr>
    </w:p>
    <w:p w14:paraId="38CAA2D5">
      <w:pPr>
        <w:pStyle w:val="62"/>
        <w:ind w:firstLine="420"/>
      </w:pPr>
    </w:p>
    <w:p w14:paraId="1C07EB9C">
      <w:pPr>
        <w:pStyle w:val="62"/>
        <w:ind w:firstLine="420"/>
      </w:pPr>
    </w:p>
    <w:p w14:paraId="1E518B46">
      <w:pPr>
        <w:pStyle w:val="62"/>
        <w:ind w:firstLine="420"/>
      </w:pPr>
    </w:p>
    <w:p w14:paraId="78AC34C2">
      <w:pPr>
        <w:pStyle w:val="62"/>
        <w:ind w:firstLine="420"/>
      </w:pPr>
    </w:p>
    <w:p w14:paraId="01AE4BC4">
      <w:pPr>
        <w:pStyle w:val="62"/>
        <w:ind w:firstLine="420"/>
      </w:pPr>
    </w:p>
    <w:p w14:paraId="58D741EB">
      <w:pPr>
        <w:pStyle w:val="62"/>
        <w:ind w:firstLine="420"/>
      </w:pPr>
    </w:p>
    <w:p w14:paraId="0F9E1155">
      <w:pPr>
        <w:rPr>
          <w:rFonts w:hint="eastAsia" w:ascii="黑体" w:hAnsi="黑体" w:eastAsia="黑体" w:cs="黑体"/>
        </w:rPr>
      </w:pPr>
      <w:r>
        <w:rPr>
          <w:rFonts w:hint="eastAsia" w:ascii="黑体" w:hAnsi="黑体" w:eastAsia="黑体" w:cs="黑体"/>
        </w:rPr>
        <w:br w:type="page"/>
      </w:r>
    </w:p>
    <w:p w14:paraId="7BBF9CD7">
      <w:pPr>
        <w:adjustRightInd/>
        <w:snapToGrid w:val="0"/>
        <w:spacing w:after="120" w:line="240" w:lineRule="auto"/>
        <w:ind w:left="420" w:leftChars="200"/>
        <w:jc w:val="center"/>
        <w:rPr>
          <w:rFonts w:hint="eastAsia" w:ascii="黑体" w:hAnsi="黑体" w:eastAsia="黑体" w:cs="黑体"/>
        </w:rPr>
      </w:pPr>
      <w:r>
        <w:rPr>
          <w:rFonts w:hint="eastAsia" w:ascii="黑体" w:hAnsi="黑体" w:eastAsia="黑体" w:cs="黑体"/>
        </w:rPr>
        <w:t>附录A</w:t>
      </w:r>
    </w:p>
    <w:p w14:paraId="727B6820">
      <w:pPr>
        <w:adjustRightInd/>
        <w:snapToGrid w:val="0"/>
        <w:spacing w:after="120" w:line="240" w:lineRule="auto"/>
        <w:ind w:left="420" w:leftChars="200"/>
        <w:jc w:val="center"/>
        <w:rPr>
          <w:rFonts w:hint="eastAsia" w:ascii="黑体" w:hAnsi="黑体" w:eastAsia="黑体" w:cs="黑体"/>
        </w:rPr>
      </w:pPr>
      <w:r>
        <w:rPr>
          <w:rFonts w:hint="eastAsia" w:ascii="黑体" w:hAnsi="黑体" w:eastAsia="黑体" w:cs="黑体"/>
        </w:rPr>
        <w:t>（资料性</w:t>
      </w:r>
      <w:r>
        <w:rPr>
          <w:rFonts w:hint="eastAsia" w:ascii="黑体" w:hAnsi="黑体" w:eastAsia="黑体" w:cs="黑体"/>
          <w:lang w:val="en-US" w:eastAsia="zh-CN"/>
        </w:rPr>
        <w:t>附录</w:t>
      </w:r>
      <w:r>
        <w:rPr>
          <w:rFonts w:hint="eastAsia" w:ascii="黑体" w:hAnsi="黑体" w:eastAsia="黑体" w:cs="黑体"/>
        </w:rPr>
        <w:t>）</w:t>
      </w:r>
    </w:p>
    <w:p w14:paraId="49F27016">
      <w:pPr>
        <w:adjustRightInd/>
        <w:snapToGrid w:val="0"/>
        <w:spacing w:after="120" w:line="240" w:lineRule="auto"/>
        <w:ind w:left="420" w:leftChars="200"/>
        <w:jc w:val="center"/>
        <w:rPr>
          <w:rFonts w:hint="eastAsia" w:ascii="黑体" w:hAnsi="黑体" w:eastAsia="黑体" w:cs="黑体"/>
        </w:rPr>
      </w:pPr>
      <w:r>
        <w:rPr>
          <w:rFonts w:hint="eastAsia" w:ascii="黑体" w:hAnsi="黑体" w:eastAsia="黑体" w:cs="黑体"/>
        </w:rPr>
        <w:t>水产养殖动物的急性毒性试验</w:t>
      </w:r>
    </w:p>
    <w:p w14:paraId="53091894">
      <w:pPr>
        <w:pStyle w:val="14"/>
        <w:spacing w:after="0" w:line="360" w:lineRule="auto"/>
        <w:jc w:val="left"/>
        <w:outlineLvl w:val="0"/>
        <w:rPr>
          <w:rFonts w:hint="eastAsia" w:ascii="黑体" w:hAnsi="黑体" w:eastAsia="黑体" w:cs="黑体"/>
        </w:rPr>
      </w:pPr>
      <w:r>
        <w:rPr>
          <w:rFonts w:hint="eastAsia" w:ascii="黑体" w:hAnsi="黑体" w:eastAsia="黑体" w:cs="黑体"/>
          <w:sz w:val="22"/>
          <w:szCs w:val="22"/>
        </w:rPr>
        <w:t>1 方法原理</w:t>
      </w:r>
    </w:p>
    <w:p w14:paraId="73703E39">
      <w:pPr>
        <w:spacing w:line="276" w:lineRule="auto"/>
        <w:ind w:firstLine="420" w:firstLineChars="200"/>
        <w:jc w:val="left"/>
        <w:rPr>
          <w:rFonts w:hint="eastAsia" w:ascii="宋体" w:hAnsi="宋体" w:cs="宋体"/>
        </w:rPr>
      </w:pPr>
      <w:r>
        <w:rPr>
          <w:rFonts w:hint="eastAsia" w:ascii="宋体" w:hAnsi="宋体" w:cs="宋体"/>
        </w:rPr>
        <w:t>水产养殖动物类急性毒性试验用于评价受试物对水产养殖动物类可能产生的影响，以短期暴露效应表明受试物的危害性。</w:t>
      </w:r>
    </w:p>
    <w:p w14:paraId="328A9B32">
      <w:pPr>
        <w:pStyle w:val="14"/>
        <w:spacing w:after="0" w:line="276" w:lineRule="auto"/>
        <w:ind w:firstLine="420" w:firstLineChars="200"/>
        <w:jc w:val="left"/>
        <w:rPr>
          <w:rFonts w:ascii="Times New Roman" w:hAnsi="Times New Roman"/>
        </w:rPr>
      </w:pPr>
      <w:r>
        <w:rPr>
          <w:rFonts w:ascii="Times New Roman" w:hAnsi="Times New Roman"/>
        </w:rPr>
        <w:t>将水产养殖动物暴露于不同浓度的受试物溶液，以96</w:t>
      </w:r>
      <w:r>
        <w:rPr>
          <w:rFonts w:hint="eastAsia" w:ascii="Times New Roman" w:hAnsi="Times New Roman"/>
        </w:rPr>
        <w:t xml:space="preserve"> </w:t>
      </w:r>
      <w:r>
        <w:rPr>
          <w:rFonts w:ascii="Times New Roman" w:hAnsi="Times New Roman"/>
        </w:rPr>
        <w:t>h为试验周期，在24</w:t>
      </w:r>
      <w:r>
        <w:rPr>
          <w:rFonts w:hint="eastAsia" w:ascii="Times New Roman" w:hAnsi="Times New Roman"/>
        </w:rPr>
        <w:t xml:space="preserve"> </w:t>
      </w:r>
      <w:r>
        <w:rPr>
          <w:rFonts w:ascii="Times New Roman" w:hAnsi="Times New Roman"/>
        </w:rPr>
        <w:t>h、48</w:t>
      </w:r>
      <w:r>
        <w:rPr>
          <w:rFonts w:hint="eastAsia" w:ascii="Times New Roman" w:hAnsi="Times New Roman"/>
        </w:rPr>
        <w:t xml:space="preserve"> </w:t>
      </w:r>
      <w:r>
        <w:rPr>
          <w:rFonts w:ascii="Times New Roman" w:hAnsi="Times New Roman"/>
        </w:rPr>
        <w:t>h、72</w:t>
      </w:r>
      <w:r>
        <w:rPr>
          <w:rFonts w:hint="eastAsia" w:ascii="Times New Roman" w:hAnsi="Times New Roman"/>
        </w:rPr>
        <w:t xml:space="preserve"> </w:t>
      </w:r>
      <w:r>
        <w:rPr>
          <w:rFonts w:ascii="Times New Roman" w:hAnsi="Times New Roman"/>
        </w:rPr>
        <w:t>h和96</w:t>
      </w:r>
      <w:r>
        <w:rPr>
          <w:rFonts w:hint="eastAsia" w:ascii="Times New Roman" w:hAnsi="Times New Roman"/>
        </w:rPr>
        <w:t xml:space="preserve"> </w:t>
      </w:r>
      <w:r>
        <w:rPr>
          <w:rFonts w:ascii="Times New Roman" w:hAnsi="Times New Roman"/>
        </w:rPr>
        <w:t>h时记录水产养殖动物的死亡率，分别确定50%试验水产养殖动物死亡时的受试物浓度，用LC</w:t>
      </w:r>
      <w:r>
        <w:rPr>
          <w:rFonts w:ascii="Times New Roman" w:hAnsi="Times New Roman"/>
          <w:vertAlign w:val="subscript"/>
        </w:rPr>
        <w:t>50</w:t>
      </w:r>
      <w:r>
        <w:rPr>
          <w:rFonts w:ascii="Times New Roman" w:hAnsi="Times New Roman"/>
        </w:rPr>
        <w:t>表示。</w:t>
      </w:r>
    </w:p>
    <w:p w14:paraId="2C683C14">
      <w:pPr>
        <w:pStyle w:val="14"/>
        <w:spacing w:after="0" w:line="360" w:lineRule="auto"/>
        <w:jc w:val="left"/>
        <w:outlineLvl w:val="0"/>
        <w:rPr>
          <w:rFonts w:hint="eastAsia" w:ascii="黑体" w:hAnsi="黑体" w:eastAsia="黑体" w:cs="黑体"/>
        </w:rPr>
      </w:pPr>
      <w:r>
        <w:rPr>
          <w:rFonts w:hint="eastAsia" w:ascii="黑体" w:hAnsi="黑体" w:eastAsia="黑体" w:cs="黑体"/>
          <w:sz w:val="22"/>
          <w:szCs w:val="22"/>
        </w:rPr>
        <w:t>2 试验准备</w:t>
      </w:r>
    </w:p>
    <w:p w14:paraId="71104A0F">
      <w:pPr>
        <w:pStyle w:val="14"/>
        <w:spacing w:after="0" w:line="360" w:lineRule="auto"/>
        <w:jc w:val="left"/>
        <w:outlineLvl w:val="0"/>
        <w:rPr>
          <w:rFonts w:hint="eastAsia" w:ascii="黑体" w:hAnsi="黑体" w:eastAsia="黑体" w:cs="黑体"/>
          <w:sz w:val="22"/>
          <w:szCs w:val="22"/>
        </w:rPr>
      </w:pPr>
      <w:r>
        <w:rPr>
          <w:rFonts w:hint="eastAsia" w:ascii="黑体" w:hAnsi="黑体" w:eastAsia="黑体" w:cs="黑体"/>
          <w:sz w:val="22"/>
          <w:szCs w:val="22"/>
        </w:rPr>
        <w:t>2.1 仪器设备</w:t>
      </w:r>
    </w:p>
    <w:p w14:paraId="24262EDD">
      <w:pPr>
        <w:pStyle w:val="14"/>
        <w:spacing w:after="0" w:line="276" w:lineRule="auto"/>
        <w:ind w:firstLine="420" w:firstLineChars="200"/>
        <w:jc w:val="left"/>
        <w:rPr>
          <w:rFonts w:hint="eastAsia" w:ascii="宋体" w:hAnsi="宋体" w:cs="宋体"/>
        </w:rPr>
      </w:pPr>
      <w:r>
        <w:rPr>
          <w:rFonts w:hint="eastAsia" w:ascii="宋体" w:hAnsi="宋体" w:cs="宋体"/>
        </w:rPr>
        <w:t>仪器设备至少包括：</w:t>
      </w:r>
    </w:p>
    <w:p w14:paraId="33A5B8E8">
      <w:pPr>
        <w:pStyle w:val="14"/>
        <w:spacing w:after="0" w:line="276" w:lineRule="auto"/>
        <w:ind w:firstLine="420" w:firstLineChars="200"/>
        <w:jc w:val="left"/>
        <w:rPr>
          <w:rFonts w:ascii="Times New Roman" w:hAnsi="Times New Roman"/>
        </w:rPr>
      </w:pPr>
      <w:r>
        <w:rPr>
          <w:rFonts w:ascii="Times New Roman" w:hAnsi="Times New Roman"/>
        </w:rPr>
        <w:t>a）溶解氧测定仪；</w:t>
      </w:r>
    </w:p>
    <w:p w14:paraId="7BA9DD06">
      <w:pPr>
        <w:pStyle w:val="14"/>
        <w:spacing w:after="0" w:line="276" w:lineRule="auto"/>
        <w:ind w:firstLine="420" w:firstLineChars="200"/>
        <w:jc w:val="left"/>
        <w:rPr>
          <w:rFonts w:ascii="Times New Roman" w:hAnsi="Times New Roman"/>
        </w:rPr>
      </w:pPr>
      <w:r>
        <w:rPr>
          <w:rFonts w:ascii="Times New Roman" w:hAnsi="Times New Roman"/>
        </w:rPr>
        <w:t>b）水硬度计；</w:t>
      </w:r>
    </w:p>
    <w:p w14:paraId="4A446357">
      <w:pPr>
        <w:pStyle w:val="14"/>
        <w:spacing w:after="0" w:line="276" w:lineRule="auto"/>
        <w:ind w:firstLine="420" w:firstLineChars="200"/>
        <w:jc w:val="left"/>
        <w:rPr>
          <w:rFonts w:ascii="Times New Roman" w:hAnsi="Times New Roman"/>
        </w:rPr>
      </w:pPr>
      <w:r>
        <w:rPr>
          <w:rFonts w:ascii="Times New Roman" w:hAnsi="Times New Roman"/>
        </w:rPr>
        <w:t>c）温度控制仪；</w:t>
      </w:r>
    </w:p>
    <w:p w14:paraId="75E53817">
      <w:pPr>
        <w:pStyle w:val="14"/>
        <w:spacing w:after="0" w:line="276" w:lineRule="auto"/>
        <w:ind w:firstLine="420" w:firstLineChars="200"/>
        <w:jc w:val="left"/>
        <w:rPr>
          <w:rFonts w:ascii="Times New Roman" w:hAnsi="Times New Roman"/>
        </w:rPr>
      </w:pPr>
      <w:r>
        <w:rPr>
          <w:rFonts w:ascii="Times New Roman" w:hAnsi="Times New Roman"/>
        </w:rPr>
        <w:t>d）化学惰性材料制成的水族箱或水槽，规格一致，体积适宜；</w:t>
      </w:r>
    </w:p>
    <w:p w14:paraId="2C83F142">
      <w:pPr>
        <w:pStyle w:val="14"/>
        <w:spacing w:after="0" w:line="276" w:lineRule="auto"/>
        <w:ind w:firstLine="420" w:firstLineChars="200"/>
        <w:jc w:val="left"/>
        <w:rPr>
          <w:rFonts w:ascii="Times New Roman" w:hAnsi="Times New Roman"/>
        </w:rPr>
      </w:pPr>
      <w:r>
        <w:rPr>
          <w:rFonts w:ascii="Times New Roman" w:hAnsi="Times New Roman"/>
        </w:rPr>
        <w:t>e）pH计。</w:t>
      </w:r>
    </w:p>
    <w:p w14:paraId="5864AE7A">
      <w:pPr>
        <w:pStyle w:val="14"/>
        <w:spacing w:after="0" w:line="360" w:lineRule="auto"/>
        <w:jc w:val="left"/>
        <w:outlineLvl w:val="0"/>
        <w:rPr>
          <w:rFonts w:hint="eastAsia" w:ascii="黑体" w:hAnsi="黑体" w:eastAsia="黑体" w:cs="黑体"/>
          <w:sz w:val="22"/>
          <w:szCs w:val="22"/>
        </w:rPr>
      </w:pPr>
      <w:r>
        <w:rPr>
          <w:rFonts w:hint="eastAsia" w:ascii="黑体" w:hAnsi="黑体" w:eastAsia="黑体" w:cs="黑体"/>
          <w:sz w:val="22"/>
          <w:szCs w:val="22"/>
        </w:rPr>
        <w:t>2.2 试验生物选择</w:t>
      </w:r>
    </w:p>
    <w:p w14:paraId="76553AD8">
      <w:pPr>
        <w:pStyle w:val="14"/>
        <w:spacing w:after="0" w:line="276" w:lineRule="auto"/>
        <w:ind w:firstLine="420" w:firstLineChars="200"/>
        <w:jc w:val="left"/>
        <w:rPr>
          <w:rFonts w:hint="eastAsia" w:ascii="宋体" w:hAnsi="宋体" w:cs="宋体"/>
        </w:rPr>
      </w:pPr>
      <w:r>
        <w:rPr>
          <w:rFonts w:hint="eastAsia" w:ascii="宋体" w:hAnsi="宋体" w:cs="宋体"/>
        </w:rPr>
        <w:t>选用一个或多个</w:t>
      </w:r>
      <w:r>
        <w:rPr>
          <w:rFonts w:hint="eastAsia" w:cs="宋体"/>
        </w:rPr>
        <w:t>水产养殖动物</w:t>
      </w:r>
      <w:r>
        <w:rPr>
          <w:rFonts w:hint="eastAsia" w:ascii="宋体" w:hAnsi="宋体" w:cs="宋体"/>
        </w:rPr>
        <w:t>，根据需要自行选择。建议根据易于饲养、方便试验</w:t>
      </w:r>
      <w:r>
        <w:rPr>
          <w:rFonts w:hint="eastAsia" w:cs="宋体"/>
        </w:rPr>
        <w:t>、具有代表性</w:t>
      </w:r>
      <w:r>
        <w:rPr>
          <w:rFonts w:hint="eastAsia" w:ascii="宋体" w:hAnsi="宋体" w:cs="宋体"/>
        </w:rPr>
        <w:t>等原则，并结合相关的经济、生物或生态因素等来确定</w:t>
      </w:r>
      <w:r>
        <w:rPr>
          <w:rFonts w:hint="eastAsia" w:cs="宋体"/>
        </w:rPr>
        <w:t>水产养殖动物</w:t>
      </w:r>
      <w:r>
        <w:rPr>
          <w:rFonts w:hint="eastAsia" w:ascii="宋体" w:hAnsi="宋体" w:cs="宋体"/>
        </w:rPr>
        <w:t>。试验用</w:t>
      </w:r>
      <w:r>
        <w:rPr>
          <w:rFonts w:hint="eastAsia" w:cs="宋体"/>
        </w:rPr>
        <w:t>水产养殖动物</w:t>
      </w:r>
      <w:r>
        <w:rPr>
          <w:rFonts w:hint="eastAsia" w:ascii="宋体" w:hAnsi="宋体" w:cs="宋体"/>
        </w:rPr>
        <w:t>应健康，无明显的畸形。</w:t>
      </w:r>
    </w:p>
    <w:p w14:paraId="5227E62B">
      <w:pPr>
        <w:pStyle w:val="14"/>
        <w:spacing w:after="0" w:line="276" w:lineRule="auto"/>
        <w:ind w:firstLine="420" w:firstLineChars="200"/>
        <w:jc w:val="left"/>
        <w:rPr>
          <w:rFonts w:hint="eastAsia" w:ascii="宋体" w:hAnsi="宋体" w:cs="宋体"/>
        </w:rPr>
      </w:pPr>
      <w:r>
        <w:rPr>
          <w:rFonts w:hint="eastAsia" w:ascii="宋体" w:hAnsi="宋体" w:cs="宋体"/>
        </w:rPr>
        <w:t>安全性评价实验动物：可在具备疾病与寄生虫控制条件的养殖场或实验室中，对水产养殖动物进行驯化和饲养，确保其健康状态良好且遗传清晰。此类水产养殖动物在全球多地均有分布，若使用其他符合上述标准的水产养殖动物，需对试验方法作相应调整，以提供合适的试验条件。</w:t>
      </w:r>
    </w:p>
    <w:p w14:paraId="06D063D0">
      <w:pPr>
        <w:pStyle w:val="14"/>
        <w:spacing w:after="0" w:line="360" w:lineRule="auto"/>
        <w:jc w:val="left"/>
        <w:outlineLvl w:val="0"/>
        <w:rPr>
          <w:rFonts w:hint="eastAsia" w:ascii="黑体" w:hAnsi="黑体" w:eastAsia="黑体" w:cs="黑体"/>
          <w:sz w:val="22"/>
          <w:szCs w:val="22"/>
        </w:rPr>
      </w:pPr>
      <w:r>
        <w:rPr>
          <w:rFonts w:hint="eastAsia" w:ascii="黑体" w:hAnsi="黑体" w:eastAsia="黑体" w:cs="黑体"/>
          <w:sz w:val="22"/>
          <w:szCs w:val="22"/>
        </w:rPr>
        <w:t>2.3 试验水产养殖动物的驯养</w:t>
      </w:r>
    </w:p>
    <w:p w14:paraId="217098E4">
      <w:pPr>
        <w:pStyle w:val="14"/>
        <w:spacing w:after="0" w:line="276" w:lineRule="auto"/>
        <w:ind w:firstLine="420" w:firstLineChars="200"/>
        <w:jc w:val="left"/>
        <w:rPr>
          <w:rFonts w:hint="eastAsia" w:ascii="Times New Roman" w:hAnsi="Times New Roman" w:eastAsia="宋体"/>
          <w:lang w:eastAsia="zh-CN"/>
        </w:rPr>
      </w:pPr>
      <w:r>
        <w:rPr>
          <w:rFonts w:ascii="Times New Roman" w:hAnsi="Times New Roman"/>
        </w:rPr>
        <w:t>试验水产养殖动物用于试验之前，应在实验室至少暂养12 d。临试验前，应在符合下列条件的环境中至少驯养7 d</w:t>
      </w:r>
      <w:r>
        <w:rPr>
          <w:rFonts w:hint="eastAsia" w:ascii="Times New Roman" w:hAnsi="Times New Roman"/>
          <w:lang w:eastAsia="zh-CN"/>
        </w:rPr>
        <w:t>：</w:t>
      </w:r>
    </w:p>
    <w:p w14:paraId="007C276E">
      <w:pPr>
        <w:pStyle w:val="14"/>
        <w:spacing w:after="0" w:line="276" w:lineRule="auto"/>
        <w:ind w:firstLine="420" w:firstLineChars="200"/>
        <w:jc w:val="left"/>
        <w:rPr>
          <w:rFonts w:ascii="Times New Roman" w:hAnsi="Times New Roman"/>
        </w:rPr>
      </w:pPr>
      <w:r>
        <w:rPr>
          <w:rFonts w:ascii="Times New Roman" w:hAnsi="Times New Roman"/>
        </w:rPr>
        <w:t>——水：与试验用水相同；</w:t>
      </w:r>
    </w:p>
    <w:p w14:paraId="61C25CDA">
      <w:pPr>
        <w:pStyle w:val="14"/>
        <w:spacing w:after="0" w:line="276" w:lineRule="auto"/>
        <w:ind w:firstLine="420" w:firstLineChars="200"/>
        <w:jc w:val="left"/>
        <w:rPr>
          <w:rFonts w:ascii="Times New Roman" w:hAnsi="Times New Roman"/>
        </w:rPr>
      </w:pPr>
      <w:r>
        <w:rPr>
          <w:rFonts w:ascii="Times New Roman" w:hAnsi="Times New Roman"/>
        </w:rPr>
        <w:t>——光照：每天12 h～16 h光照；</w:t>
      </w:r>
    </w:p>
    <w:p w14:paraId="51C782B0">
      <w:pPr>
        <w:pStyle w:val="14"/>
        <w:spacing w:after="0" w:line="276" w:lineRule="auto"/>
        <w:ind w:firstLine="420" w:firstLineChars="200"/>
        <w:jc w:val="left"/>
        <w:rPr>
          <w:rFonts w:ascii="Times New Roman" w:hAnsi="Times New Roman"/>
        </w:rPr>
      </w:pPr>
      <w:r>
        <w:rPr>
          <w:rFonts w:ascii="Times New Roman" w:hAnsi="Times New Roman"/>
        </w:rPr>
        <w:t>——温度：与试验水产养殖动物种相适宜</w:t>
      </w:r>
    </w:p>
    <w:p w14:paraId="102C37D7">
      <w:pPr>
        <w:pStyle w:val="14"/>
        <w:spacing w:after="0" w:line="276" w:lineRule="auto"/>
        <w:ind w:firstLine="420" w:firstLineChars="200"/>
        <w:jc w:val="left"/>
        <w:rPr>
          <w:rFonts w:ascii="Times New Roman" w:hAnsi="Times New Roman"/>
        </w:rPr>
      </w:pPr>
      <w:r>
        <w:rPr>
          <w:rFonts w:ascii="Times New Roman" w:hAnsi="Times New Roman"/>
        </w:rPr>
        <w:t>——溶解氧浓度：不小于80%空气饱和值；</w:t>
      </w:r>
    </w:p>
    <w:p w14:paraId="73D714CC">
      <w:pPr>
        <w:pStyle w:val="14"/>
        <w:spacing w:after="0" w:line="276" w:lineRule="auto"/>
        <w:ind w:firstLine="420" w:firstLineChars="200"/>
        <w:jc w:val="left"/>
        <w:rPr>
          <w:rFonts w:ascii="Times New Roman" w:hAnsi="Times New Roman"/>
        </w:rPr>
      </w:pPr>
      <w:r>
        <w:rPr>
          <w:rFonts w:ascii="Times New Roman" w:hAnsi="Times New Roman"/>
        </w:rPr>
        <w:t>——喂养：每周3次或每天投食，至试验开始前24 h为止。驯养开始48 h后，记录死亡率，并按下列标准处理：</w:t>
      </w:r>
    </w:p>
    <w:p w14:paraId="1BEFDB31">
      <w:pPr>
        <w:pStyle w:val="14"/>
        <w:tabs>
          <w:tab w:val="left" w:pos="870"/>
        </w:tabs>
        <w:spacing w:after="0" w:line="276" w:lineRule="auto"/>
        <w:ind w:firstLine="420" w:firstLineChars="200"/>
        <w:jc w:val="left"/>
        <w:rPr>
          <w:rFonts w:ascii="Times New Roman" w:hAnsi="Times New Roman"/>
        </w:rPr>
      </w:pPr>
      <w:r>
        <w:rPr>
          <w:rFonts w:ascii="Times New Roman" w:hAnsi="Times New Roman"/>
        </w:rPr>
        <w:t>——7</w:t>
      </w:r>
      <w:r>
        <w:rPr>
          <w:rFonts w:hint="eastAsia" w:ascii="Times New Roman" w:hAnsi="Times New Roman"/>
        </w:rPr>
        <w:t xml:space="preserve"> </w:t>
      </w:r>
      <w:r>
        <w:rPr>
          <w:rFonts w:ascii="Times New Roman" w:hAnsi="Times New Roman"/>
        </w:rPr>
        <w:t>d内，死亡率大于10%</w:t>
      </w:r>
      <w:r>
        <w:rPr>
          <w:rFonts w:hint="eastAsia" w:ascii="Times New Roman" w:hAnsi="Times New Roman"/>
        </w:rPr>
        <w:t>，</w:t>
      </w:r>
      <w:r>
        <w:rPr>
          <w:rFonts w:ascii="Times New Roman" w:hAnsi="Times New Roman"/>
        </w:rPr>
        <w:t>舍弃整批水产养殖动物；</w:t>
      </w:r>
    </w:p>
    <w:p w14:paraId="0A20A3B9">
      <w:pPr>
        <w:pStyle w:val="14"/>
        <w:tabs>
          <w:tab w:val="left" w:pos="870"/>
        </w:tabs>
        <w:spacing w:after="0" w:line="276" w:lineRule="auto"/>
        <w:ind w:firstLine="420" w:firstLineChars="200"/>
        <w:jc w:val="left"/>
        <w:rPr>
          <w:rFonts w:ascii="Times New Roman" w:hAnsi="Times New Roman"/>
        </w:rPr>
      </w:pPr>
      <w:r>
        <w:rPr>
          <w:rFonts w:ascii="Times New Roman" w:hAnsi="Times New Roman"/>
        </w:rPr>
        <w:t>——7 d内，死亡率在5%～10%之间，继续驯养7 d</w:t>
      </w:r>
      <w:r>
        <w:rPr>
          <w:rFonts w:hint="eastAsia" w:ascii="Times New Roman" w:hAnsi="Times New Roman"/>
        </w:rPr>
        <w:t>；</w:t>
      </w:r>
    </w:p>
    <w:p w14:paraId="0CB9EFA3">
      <w:pPr>
        <w:pStyle w:val="14"/>
        <w:tabs>
          <w:tab w:val="left" w:pos="870"/>
        </w:tabs>
        <w:spacing w:after="0" w:line="276" w:lineRule="auto"/>
        <w:ind w:firstLine="420" w:firstLineChars="200"/>
        <w:jc w:val="left"/>
        <w:rPr>
          <w:rFonts w:ascii="Times New Roman" w:hAnsi="Times New Roman"/>
        </w:rPr>
      </w:pPr>
      <w:r>
        <w:rPr>
          <w:rFonts w:ascii="Times New Roman" w:hAnsi="Times New Roman"/>
        </w:rPr>
        <w:t>——7 d内，死亡率小于5%</w:t>
      </w:r>
      <w:r>
        <w:rPr>
          <w:rFonts w:hint="eastAsia" w:ascii="Times New Roman" w:hAnsi="Times New Roman"/>
        </w:rPr>
        <w:t>，</w:t>
      </w:r>
      <w:r>
        <w:rPr>
          <w:rFonts w:ascii="Times New Roman" w:hAnsi="Times New Roman"/>
        </w:rPr>
        <w:t>可用于试验。</w:t>
      </w:r>
    </w:p>
    <w:p w14:paraId="536CE46C">
      <w:pPr>
        <w:pStyle w:val="14"/>
        <w:spacing w:before="224" w:line="221" w:lineRule="auto"/>
        <w:ind w:left="3"/>
        <w:outlineLvl w:val="0"/>
        <w:rPr>
          <w:rFonts w:hint="eastAsia" w:ascii="黑体" w:hAnsi="黑体" w:eastAsia="黑体" w:cs="黑体"/>
          <w:sz w:val="22"/>
          <w:szCs w:val="22"/>
        </w:rPr>
      </w:pPr>
      <w:r>
        <w:rPr>
          <w:rFonts w:hint="eastAsia" w:ascii="黑体" w:hAnsi="黑体" w:eastAsia="黑体" w:cs="黑体"/>
          <w:sz w:val="22"/>
          <w:szCs w:val="22"/>
        </w:rPr>
        <w:t>2.4 试验用水</w:t>
      </w:r>
    </w:p>
    <w:p w14:paraId="07B1A273">
      <w:pPr>
        <w:pStyle w:val="14"/>
        <w:spacing w:before="186" w:line="276" w:lineRule="auto"/>
        <w:ind w:firstLine="431"/>
        <w:rPr>
          <w:rFonts w:ascii="Times New Roman" w:hAnsi="Times New Roman"/>
        </w:rPr>
      </w:pPr>
      <w:r>
        <w:rPr>
          <w:rFonts w:ascii="Times New Roman" w:hAnsi="Times New Roman"/>
        </w:rPr>
        <w:t>使用高质量的自然水或标准稀释水</w:t>
      </w:r>
      <w:r>
        <w:rPr>
          <w:rFonts w:hint="eastAsia" w:ascii="Times New Roman" w:hAnsi="Times New Roman"/>
        </w:rPr>
        <w:t>，</w:t>
      </w:r>
      <w:r>
        <w:rPr>
          <w:rFonts w:ascii="Times New Roman" w:hAnsi="Times New Roman"/>
        </w:rPr>
        <w:t>也可以使用饮用水，必要时应除氯。水的总硬度（以CaCO</w:t>
      </w:r>
      <w:r>
        <w:rPr>
          <w:rFonts w:hint="eastAsia" w:ascii="Times New Roman" w:hAnsi="Times New Roman"/>
          <w:vertAlign w:val="subscript"/>
          <w:lang w:val="en-US" w:eastAsia="zh-CN"/>
        </w:rPr>
        <w:t>3</w:t>
      </w:r>
      <w:r>
        <w:rPr>
          <w:rFonts w:ascii="Times New Roman" w:hAnsi="Times New Roman"/>
        </w:rPr>
        <w:t>计）为10</w:t>
      </w:r>
      <w:r>
        <w:rPr>
          <w:rFonts w:hint="eastAsia" w:ascii="Times New Roman" w:hAnsi="Times New Roman"/>
        </w:rPr>
        <w:t xml:space="preserve"> </w:t>
      </w:r>
      <w:r>
        <w:rPr>
          <w:rFonts w:ascii="Times New Roman" w:hAnsi="Times New Roman"/>
        </w:rPr>
        <w:t>mg/L～250</w:t>
      </w:r>
      <w:r>
        <w:rPr>
          <w:rFonts w:hint="eastAsia" w:ascii="Times New Roman" w:hAnsi="Times New Roman"/>
        </w:rPr>
        <w:t xml:space="preserve"> </w:t>
      </w:r>
      <w:r>
        <w:rPr>
          <w:rFonts w:ascii="Times New Roman" w:hAnsi="Times New Roman"/>
        </w:rPr>
        <w:t>mg/L，pH值为6.0～8.5。用于配制标准稀释水的试剂应为分析纯，去离子水或蒸馏水的电导率应小于或等于10</w:t>
      </w:r>
      <w:r>
        <w:rPr>
          <w:rFonts w:hint="eastAsia" w:ascii="Times New Roman" w:hAnsi="Times New Roman"/>
        </w:rPr>
        <w:t xml:space="preserve"> </w:t>
      </w:r>
      <w:r>
        <w:rPr>
          <w:rFonts w:ascii="Times New Roman" w:hAnsi="Times New Roman"/>
        </w:rPr>
        <w:t>μS/cm。</w:t>
      </w:r>
    </w:p>
    <w:p w14:paraId="77D4C62F">
      <w:pPr>
        <w:pStyle w:val="14"/>
        <w:spacing w:before="165" w:line="221" w:lineRule="auto"/>
        <w:ind w:left="3"/>
        <w:outlineLvl w:val="0"/>
        <w:rPr>
          <w:rFonts w:hint="eastAsia" w:ascii="黑体" w:hAnsi="黑体" w:eastAsia="黑体" w:cs="黑体"/>
          <w:sz w:val="22"/>
          <w:szCs w:val="22"/>
        </w:rPr>
      </w:pPr>
      <w:r>
        <w:rPr>
          <w:rFonts w:hint="eastAsia" w:ascii="黑体" w:hAnsi="黑体" w:eastAsia="黑体" w:cs="黑体"/>
          <w:sz w:val="22"/>
          <w:szCs w:val="22"/>
        </w:rPr>
        <w:t>2.5 试验溶液</w:t>
      </w:r>
    </w:p>
    <w:p w14:paraId="21538ED7">
      <w:pPr>
        <w:pStyle w:val="14"/>
        <w:spacing w:before="223" w:line="276" w:lineRule="auto"/>
        <w:ind w:right="79" w:firstLine="431"/>
        <w:rPr>
          <w:rFonts w:hint="eastAsia" w:ascii="宋体" w:hAnsi="宋体" w:cs="宋体"/>
        </w:rPr>
      </w:pPr>
      <w:r>
        <w:rPr>
          <w:rFonts w:ascii="Times New Roman" w:hAnsi="Times New Roman"/>
        </w:rPr>
        <w:t>通过稀释贮备液配制试验溶液。低水溶性物质的贮备液可以通过超声分散或其他适合的物理方法配制，必要时可使用对水产养殖动物毒性低的有机溶剂、乳化剂或分散剂来助溶。使用这些物质时应加设助溶剂对照试验，对照组助溶剂浓度应为试验组使用助溶剂的最高浓度，并且不得超过100 mg/L，不需调节试验溶液的pH值。如果加入受试物后试验溶液的pH值有明显变化，建议重新配制，调节受试物贮备液的pH值，使其接近加入受试物前稀释水的pH值。用于调节pH值的物质不应使贮备液的浓度明显改变，也不应与受试物发生化学反应或产生沉淀。最好使用HCl和NaOH来调节。</w:t>
      </w:r>
    </w:p>
    <w:p w14:paraId="082D3D2B">
      <w:pPr>
        <w:pStyle w:val="14"/>
        <w:spacing w:before="72" w:line="221" w:lineRule="auto"/>
        <w:ind w:left="3"/>
        <w:outlineLvl w:val="0"/>
        <w:rPr>
          <w:rFonts w:hint="eastAsia" w:ascii="宋体" w:hAnsi="宋体" w:cs="宋体"/>
        </w:rPr>
      </w:pPr>
      <w:r>
        <w:rPr>
          <w:rFonts w:hint="eastAsia" w:ascii="黑体" w:hAnsi="黑体" w:eastAsia="黑体" w:cs="黑体"/>
          <w:sz w:val="22"/>
          <w:szCs w:val="22"/>
        </w:rPr>
        <w:t>3 试验</w:t>
      </w:r>
    </w:p>
    <w:p w14:paraId="0B127FBC">
      <w:pPr>
        <w:pStyle w:val="14"/>
        <w:spacing w:before="72" w:line="223" w:lineRule="auto"/>
        <w:ind w:left="3"/>
        <w:outlineLvl w:val="0"/>
        <w:rPr>
          <w:rFonts w:hint="eastAsia" w:ascii="黑体" w:hAnsi="黑体" w:eastAsia="黑体" w:cs="黑体"/>
          <w:sz w:val="22"/>
          <w:szCs w:val="22"/>
        </w:rPr>
      </w:pPr>
      <w:r>
        <w:rPr>
          <w:rFonts w:hint="eastAsia" w:ascii="黑体" w:hAnsi="黑体" w:eastAsia="黑体" w:cs="黑体"/>
          <w:sz w:val="22"/>
          <w:szCs w:val="22"/>
        </w:rPr>
        <w:t>3.1 暴露条件</w:t>
      </w:r>
    </w:p>
    <w:p w14:paraId="7349FAF7">
      <w:pPr>
        <w:pStyle w:val="14"/>
        <w:spacing w:after="0" w:line="276" w:lineRule="auto"/>
        <w:ind w:firstLine="431"/>
        <w:rPr>
          <w:rFonts w:ascii="Times New Roman" w:hAnsi="Times New Roman"/>
          <w:sz w:val="21"/>
          <w:szCs w:val="21"/>
        </w:rPr>
      </w:pPr>
      <w:r>
        <w:rPr>
          <w:rFonts w:ascii="Times New Roman" w:hAnsi="Times New Roman"/>
          <w:sz w:val="21"/>
          <w:szCs w:val="21"/>
        </w:rPr>
        <w:t>暴露条件包括：</w:t>
      </w:r>
    </w:p>
    <w:p w14:paraId="71EF7D80">
      <w:pPr>
        <w:pStyle w:val="14"/>
        <w:spacing w:after="0" w:line="276" w:lineRule="auto"/>
        <w:ind w:firstLine="431"/>
        <w:rPr>
          <w:rFonts w:ascii="Times New Roman" w:hAnsi="Times New Roman"/>
          <w:sz w:val="21"/>
          <w:szCs w:val="21"/>
        </w:rPr>
      </w:pPr>
      <w:r>
        <w:rPr>
          <w:rFonts w:ascii="Times New Roman" w:hAnsi="Times New Roman"/>
          <w:sz w:val="21"/>
          <w:szCs w:val="21"/>
        </w:rPr>
        <w:t>——持续时间：96 h；</w:t>
      </w:r>
    </w:p>
    <w:p w14:paraId="610CCD15">
      <w:pPr>
        <w:pStyle w:val="14"/>
        <w:spacing w:after="0" w:line="276" w:lineRule="auto"/>
        <w:ind w:firstLine="431"/>
        <w:rPr>
          <w:rFonts w:ascii="Times New Roman" w:hAnsi="Times New Roman"/>
          <w:sz w:val="21"/>
          <w:szCs w:val="21"/>
        </w:rPr>
      </w:pPr>
      <w:r>
        <w:rPr>
          <w:rFonts w:ascii="Times New Roman" w:hAnsi="Times New Roman"/>
          <w:sz w:val="21"/>
          <w:szCs w:val="21"/>
        </w:rPr>
        <w:t>——承载量：静态和半静态试验系统试验水产养殖动物的最大承载量为1.0 g/L，流水式试验系统承载量可高一些；</w:t>
      </w:r>
    </w:p>
    <w:p w14:paraId="75A37493">
      <w:pPr>
        <w:pStyle w:val="14"/>
        <w:spacing w:after="0" w:line="276" w:lineRule="auto"/>
        <w:ind w:firstLine="431"/>
        <w:rPr>
          <w:rFonts w:ascii="Times New Roman" w:hAnsi="Times New Roman"/>
          <w:sz w:val="21"/>
          <w:szCs w:val="21"/>
        </w:rPr>
      </w:pPr>
      <w:r>
        <w:rPr>
          <w:rFonts w:ascii="Times New Roman" w:hAnsi="Times New Roman"/>
          <w:sz w:val="21"/>
          <w:szCs w:val="21"/>
        </w:rPr>
        <w:t>——光照：每天12 h～16 h</w:t>
      </w:r>
      <w:r>
        <w:rPr>
          <w:rFonts w:hint="eastAsia" w:ascii="Times New Roman" w:hAnsi="Times New Roman"/>
          <w:sz w:val="21"/>
          <w:szCs w:val="21"/>
        </w:rPr>
        <w:t>；</w:t>
      </w:r>
    </w:p>
    <w:p w14:paraId="39E7A2C5">
      <w:pPr>
        <w:pStyle w:val="14"/>
        <w:spacing w:after="0" w:line="276" w:lineRule="auto"/>
        <w:ind w:firstLine="431"/>
        <w:rPr>
          <w:rFonts w:ascii="Times New Roman" w:hAnsi="Times New Roman"/>
          <w:sz w:val="21"/>
          <w:szCs w:val="21"/>
        </w:rPr>
      </w:pPr>
      <w:r>
        <w:rPr>
          <w:rFonts w:ascii="Times New Roman" w:hAnsi="Times New Roman"/>
          <w:sz w:val="21"/>
          <w:szCs w:val="21"/>
        </w:rPr>
        <w:t>——温度：与试验水产养殖动物种相适宜</w:t>
      </w:r>
      <w:r>
        <w:rPr>
          <w:rFonts w:hint="eastAsia" w:ascii="Times New Roman" w:hAnsi="Times New Roman"/>
          <w:sz w:val="21"/>
          <w:szCs w:val="21"/>
        </w:rPr>
        <w:t>，</w:t>
      </w:r>
      <w:r>
        <w:rPr>
          <w:rFonts w:ascii="Times New Roman" w:hAnsi="Times New Roman"/>
          <w:sz w:val="21"/>
          <w:szCs w:val="21"/>
        </w:rPr>
        <w:t>保持恒定，变化范围±</w:t>
      </w:r>
      <w:r>
        <w:rPr>
          <w:rFonts w:hint="eastAsia" w:ascii="Times New Roman" w:hAnsi="Times New Roman"/>
          <w:sz w:val="21"/>
          <w:szCs w:val="21"/>
        </w:rPr>
        <w:t xml:space="preserve"> </w:t>
      </w:r>
      <w:r>
        <w:rPr>
          <w:rFonts w:ascii="Times New Roman" w:hAnsi="Times New Roman"/>
          <w:sz w:val="21"/>
          <w:szCs w:val="21"/>
        </w:rPr>
        <w:t>2℃</w:t>
      </w:r>
      <w:r>
        <w:rPr>
          <w:rFonts w:hint="eastAsia" w:ascii="Times New Roman" w:hAnsi="Times New Roman"/>
          <w:sz w:val="21"/>
          <w:szCs w:val="21"/>
        </w:rPr>
        <w:t>；</w:t>
      </w:r>
    </w:p>
    <w:p w14:paraId="4E27A139">
      <w:pPr>
        <w:pStyle w:val="14"/>
        <w:spacing w:after="0" w:line="276" w:lineRule="auto"/>
        <w:ind w:firstLine="431"/>
        <w:rPr>
          <w:rFonts w:ascii="Times New Roman" w:hAnsi="Times New Roman"/>
          <w:sz w:val="21"/>
          <w:szCs w:val="21"/>
        </w:rPr>
      </w:pPr>
      <w:r>
        <w:rPr>
          <w:rFonts w:ascii="Times New Roman" w:hAnsi="Times New Roman"/>
          <w:sz w:val="21"/>
          <w:szCs w:val="21"/>
        </w:rPr>
        <w:t>——溶解氧：不小于60%空气饱和值，若不会导致受试物明显损失时可进行曝气；</w:t>
      </w:r>
    </w:p>
    <w:p w14:paraId="13FD5F93">
      <w:pPr>
        <w:pStyle w:val="14"/>
        <w:spacing w:after="0" w:line="276" w:lineRule="auto"/>
        <w:ind w:firstLine="431"/>
        <w:rPr>
          <w:rFonts w:ascii="Times New Roman" w:hAnsi="Times New Roman"/>
          <w:sz w:val="21"/>
          <w:szCs w:val="21"/>
        </w:rPr>
      </w:pPr>
      <w:r>
        <w:rPr>
          <w:rFonts w:ascii="Times New Roman" w:hAnsi="Times New Roman"/>
          <w:sz w:val="21"/>
          <w:szCs w:val="21"/>
        </w:rPr>
        <w:t>——喂食：不进行；</w:t>
      </w:r>
    </w:p>
    <w:p w14:paraId="3407CC08">
      <w:pPr>
        <w:pStyle w:val="14"/>
        <w:spacing w:after="0" w:line="276" w:lineRule="auto"/>
        <w:ind w:firstLine="431"/>
        <w:rPr>
          <w:rFonts w:hint="eastAsia" w:ascii="宋体" w:hAnsi="宋体" w:cs="宋体"/>
          <w:sz w:val="21"/>
          <w:szCs w:val="21"/>
        </w:rPr>
      </w:pPr>
      <w:r>
        <w:rPr>
          <w:rFonts w:ascii="Times New Roman" w:hAnsi="Times New Roman"/>
          <w:sz w:val="21"/>
          <w:szCs w:val="21"/>
        </w:rPr>
        <w:t>——干扰：避免可能改变水产养殖动物行为的干扰。</w:t>
      </w:r>
    </w:p>
    <w:p w14:paraId="4F358CD0">
      <w:pPr>
        <w:pStyle w:val="14"/>
        <w:spacing w:before="256" w:line="221" w:lineRule="auto"/>
        <w:ind w:left="3"/>
        <w:outlineLvl w:val="0"/>
        <w:rPr>
          <w:rFonts w:hint="eastAsia" w:ascii="黑体" w:hAnsi="黑体" w:eastAsia="黑体" w:cs="黑体"/>
          <w:sz w:val="22"/>
          <w:szCs w:val="22"/>
        </w:rPr>
      </w:pPr>
      <w:r>
        <w:rPr>
          <w:rFonts w:hint="eastAsia" w:ascii="黑体" w:hAnsi="黑体" w:eastAsia="黑体" w:cs="黑体"/>
          <w:sz w:val="22"/>
          <w:szCs w:val="22"/>
        </w:rPr>
        <w:t>3.2 试验水产养殖动物数量</w:t>
      </w:r>
    </w:p>
    <w:p w14:paraId="2AB5DF90">
      <w:pPr>
        <w:pStyle w:val="14"/>
        <w:spacing w:before="252" w:line="219" w:lineRule="auto"/>
        <w:ind w:left="440"/>
        <w:rPr>
          <w:rFonts w:ascii="Times New Roman" w:hAnsi="Times New Roman"/>
          <w:sz w:val="21"/>
          <w:szCs w:val="21"/>
        </w:rPr>
      </w:pPr>
      <w:r>
        <w:rPr>
          <w:rFonts w:ascii="Times New Roman" w:hAnsi="Times New Roman"/>
          <w:sz w:val="21"/>
          <w:szCs w:val="21"/>
        </w:rPr>
        <w:t>空白对照组与各试验浓度组应每组至少7尾水产养殖动物。</w:t>
      </w:r>
    </w:p>
    <w:p w14:paraId="3AF277D7">
      <w:pPr>
        <w:pStyle w:val="14"/>
        <w:spacing w:before="223" w:line="221" w:lineRule="auto"/>
        <w:ind w:left="3"/>
        <w:outlineLvl w:val="0"/>
        <w:rPr>
          <w:rFonts w:hint="eastAsia" w:ascii="黑体" w:hAnsi="黑体" w:eastAsia="黑体" w:cs="黑体"/>
          <w:sz w:val="22"/>
          <w:szCs w:val="22"/>
        </w:rPr>
      </w:pPr>
      <w:r>
        <w:rPr>
          <w:rFonts w:hint="eastAsia" w:ascii="黑体" w:hAnsi="黑体" w:eastAsia="黑体" w:cs="黑体"/>
          <w:sz w:val="22"/>
          <w:szCs w:val="22"/>
        </w:rPr>
        <w:t>3.3 试验浓度设置</w:t>
      </w:r>
    </w:p>
    <w:p w14:paraId="11AB5AF4">
      <w:pPr>
        <w:pStyle w:val="14"/>
        <w:spacing w:before="261" w:line="276" w:lineRule="auto"/>
        <w:ind w:right="96" w:firstLine="442"/>
        <w:rPr>
          <w:rFonts w:ascii="Times New Roman" w:hAnsi="Times New Roman"/>
          <w:sz w:val="21"/>
          <w:szCs w:val="21"/>
        </w:rPr>
      </w:pPr>
      <w:r>
        <w:rPr>
          <w:rFonts w:ascii="Times New Roman" w:hAnsi="Times New Roman"/>
          <w:sz w:val="21"/>
          <w:szCs w:val="21"/>
        </w:rPr>
        <w:t>根据预试验结果来选择正式试验合适的浓度范围，至少应设置5个浓度组，并以几何级数排布，公比应不大于2.2。</w:t>
      </w:r>
    </w:p>
    <w:p w14:paraId="5EBDAAFC">
      <w:pPr>
        <w:pStyle w:val="14"/>
        <w:spacing w:before="174" w:line="221" w:lineRule="auto"/>
        <w:ind w:left="3"/>
        <w:outlineLvl w:val="0"/>
        <w:rPr>
          <w:rFonts w:hint="eastAsia" w:ascii="黑体" w:hAnsi="黑体" w:eastAsia="黑体" w:cs="黑体"/>
          <w:sz w:val="22"/>
          <w:szCs w:val="22"/>
        </w:rPr>
      </w:pPr>
      <w:r>
        <w:rPr>
          <w:rFonts w:hint="eastAsia" w:ascii="黑体" w:hAnsi="黑体" w:eastAsia="黑体" w:cs="黑体"/>
          <w:sz w:val="22"/>
          <w:szCs w:val="22"/>
        </w:rPr>
        <w:t>3.4 试验对照组设置</w:t>
      </w:r>
    </w:p>
    <w:p w14:paraId="30EA99EA">
      <w:pPr>
        <w:pStyle w:val="14"/>
        <w:spacing w:before="270" w:line="219" w:lineRule="auto"/>
        <w:ind w:left="440"/>
        <w:rPr>
          <w:rFonts w:hint="eastAsia" w:ascii="宋体" w:hAnsi="宋体" w:cs="宋体"/>
          <w:sz w:val="21"/>
          <w:szCs w:val="21"/>
        </w:rPr>
      </w:pPr>
      <w:r>
        <w:rPr>
          <w:rFonts w:hint="eastAsia" w:ascii="宋体" w:hAnsi="宋体" w:cs="宋体"/>
          <w:sz w:val="21"/>
          <w:szCs w:val="21"/>
        </w:rPr>
        <w:t>每一系列设一个空白对照。如使用了助溶剂，应增设一个助溶剂对照。</w:t>
      </w:r>
    </w:p>
    <w:p w14:paraId="39257ED6">
      <w:pPr>
        <w:pStyle w:val="14"/>
        <w:spacing w:before="236" w:line="222" w:lineRule="auto"/>
        <w:ind w:left="3"/>
        <w:outlineLvl w:val="0"/>
        <w:rPr>
          <w:rFonts w:hint="eastAsia" w:ascii="黑体" w:hAnsi="黑体" w:eastAsia="黑体" w:cs="黑体"/>
          <w:sz w:val="22"/>
          <w:szCs w:val="22"/>
        </w:rPr>
      </w:pPr>
      <w:r>
        <w:rPr>
          <w:rFonts w:hint="eastAsia" w:ascii="黑体" w:hAnsi="黑体" w:eastAsia="黑体" w:cs="黑体"/>
          <w:sz w:val="22"/>
          <w:szCs w:val="22"/>
        </w:rPr>
        <w:t>3.5 观察</w:t>
      </w:r>
    </w:p>
    <w:p w14:paraId="1C347180">
      <w:pPr>
        <w:pStyle w:val="14"/>
        <w:spacing w:after="0" w:line="276" w:lineRule="auto"/>
        <w:ind w:right="79" w:firstLine="431"/>
        <w:rPr>
          <w:rFonts w:ascii="Times New Roman" w:hAnsi="Times New Roman"/>
          <w:sz w:val="21"/>
          <w:szCs w:val="21"/>
        </w:rPr>
      </w:pPr>
      <w:r>
        <w:rPr>
          <w:rFonts w:ascii="Times New Roman" w:hAnsi="Times New Roman"/>
          <w:sz w:val="21"/>
          <w:szCs w:val="21"/>
        </w:rPr>
        <w:t>至少在24</w:t>
      </w:r>
      <w:r>
        <w:rPr>
          <w:rFonts w:hint="eastAsia" w:ascii="Times New Roman" w:hAnsi="Times New Roman"/>
          <w:sz w:val="21"/>
          <w:szCs w:val="21"/>
        </w:rPr>
        <w:t xml:space="preserve"> </w:t>
      </w:r>
      <w:r>
        <w:rPr>
          <w:rFonts w:ascii="Times New Roman" w:hAnsi="Times New Roman"/>
          <w:sz w:val="21"/>
          <w:szCs w:val="21"/>
        </w:rPr>
        <w:t>h、48</w:t>
      </w:r>
      <w:r>
        <w:rPr>
          <w:rFonts w:hint="eastAsia" w:ascii="Times New Roman" w:hAnsi="Times New Roman"/>
          <w:sz w:val="21"/>
          <w:szCs w:val="21"/>
        </w:rPr>
        <w:t xml:space="preserve"> </w:t>
      </w:r>
      <w:r>
        <w:rPr>
          <w:rFonts w:ascii="Times New Roman" w:hAnsi="Times New Roman"/>
          <w:sz w:val="21"/>
          <w:szCs w:val="21"/>
        </w:rPr>
        <w:t>h、72</w:t>
      </w:r>
      <w:r>
        <w:rPr>
          <w:rFonts w:hint="eastAsia" w:ascii="Times New Roman" w:hAnsi="Times New Roman"/>
          <w:sz w:val="21"/>
          <w:szCs w:val="21"/>
        </w:rPr>
        <w:t xml:space="preserve"> </w:t>
      </w:r>
      <w:r>
        <w:rPr>
          <w:rFonts w:ascii="Times New Roman" w:hAnsi="Times New Roman"/>
          <w:sz w:val="21"/>
          <w:szCs w:val="21"/>
        </w:rPr>
        <w:t>h和96</w:t>
      </w:r>
      <w:r>
        <w:rPr>
          <w:rFonts w:hint="eastAsia" w:ascii="Times New Roman" w:hAnsi="Times New Roman"/>
          <w:sz w:val="21"/>
          <w:szCs w:val="21"/>
        </w:rPr>
        <w:t xml:space="preserve"> </w:t>
      </w:r>
      <w:r>
        <w:rPr>
          <w:rFonts w:ascii="Times New Roman" w:hAnsi="Times New Roman"/>
          <w:sz w:val="21"/>
          <w:szCs w:val="21"/>
        </w:rPr>
        <w:t>h后检查试验水产养殖动物的状况。如果试验水产养殖动物没有任何肉眼可见的运动，如鳃的扇动，以及碰触尾部后无反应，即可判断该水产养殖动物已死亡。观察并记录死水产养殖动物数目后，将死水产养殖动物从容器中移去。最好在试验开始后3h及6h时观察各试验组水产养殖动物的状况。记录可见的试验水产养殖动物异常情况</w:t>
      </w:r>
      <w:r>
        <w:rPr>
          <w:rFonts w:hint="eastAsia" w:ascii="Times New Roman" w:hAnsi="Times New Roman"/>
          <w:sz w:val="21"/>
          <w:szCs w:val="21"/>
        </w:rPr>
        <w:t>（</w:t>
      </w:r>
      <w:r>
        <w:rPr>
          <w:rFonts w:ascii="Times New Roman" w:hAnsi="Times New Roman"/>
          <w:sz w:val="21"/>
          <w:szCs w:val="21"/>
        </w:rPr>
        <w:t>如平衡能力丧失，游泳能力和呼吸功能减弱，颜色变浅等</w:t>
      </w:r>
      <w:r>
        <w:rPr>
          <w:rFonts w:hint="eastAsia" w:ascii="Times New Roman" w:hAnsi="Times New Roman"/>
          <w:sz w:val="21"/>
          <w:szCs w:val="21"/>
        </w:rPr>
        <w:t>）</w:t>
      </w:r>
      <w:r>
        <w:rPr>
          <w:rFonts w:ascii="Times New Roman" w:hAnsi="Times New Roman"/>
          <w:sz w:val="21"/>
          <w:szCs w:val="21"/>
        </w:rPr>
        <w:t>。</w:t>
      </w:r>
    </w:p>
    <w:p w14:paraId="12AA89BF">
      <w:pPr>
        <w:pStyle w:val="14"/>
        <w:spacing w:after="0" w:line="276" w:lineRule="auto"/>
        <w:ind w:right="79" w:firstLine="431"/>
        <w:rPr>
          <w:rFonts w:ascii="Times New Roman" w:hAnsi="Times New Roman"/>
          <w:sz w:val="21"/>
          <w:szCs w:val="21"/>
        </w:rPr>
      </w:pPr>
      <w:r>
        <w:rPr>
          <w:rFonts w:ascii="Times New Roman" w:hAnsi="Times New Roman"/>
          <w:sz w:val="21"/>
          <w:szCs w:val="21"/>
        </w:rPr>
        <w:t>每天至少测定一次pH值、溶解氧和温度。</w:t>
      </w:r>
    </w:p>
    <w:p w14:paraId="3A7E531D">
      <w:pPr>
        <w:pStyle w:val="14"/>
        <w:spacing w:before="257" w:line="221" w:lineRule="auto"/>
        <w:ind w:left="3"/>
        <w:outlineLvl w:val="0"/>
        <w:rPr>
          <w:rFonts w:hint="eastAsia" w:ascii="黑体" w:hAnsi="黑体" w:eastAsia="黑体" w:cs="黑体"/>
          <w:sz w:val="22"/>
          <w:szCs w:val="22"/>
        </w:rPr>
      </w:pPr>
      <w:r>
        <w:rPr>
          <w:rFonts w:hint="eastAsia" w:ascii="黑体" w:hAnsi="黑体" w:eastAsia="黑体" w:cs="黑体"/>
          <w:sz w:val="22"/>
          <w:szCs w:val="22"/>
        </w:rPr>
        <w:t>3.6 限度试验</w:t>
      </w:r>
    </w:p>
    <w:p w14:paraId="10790CE2">
      <w:pPr>
        <w:pStyle w:val="14"/>
        <w:spacing w:after="0" w:line="276" w:lineRule="auto"/>
        <w:ind w:right="68" w:firstLine="442"/>
        <w:rPr>
          <w:rFonts w:ascii="Times New Roman" w:hAnsi="Times New Roman"/>
          <w:sz w:val="21"/>
          <w:szCs w:val="21"/>
        </w:rPr>
      </w:pPr>
      <w:r>
        <w:rPr>
          <w:rFonts w:ascii="Times New Roman" w:hAnsi="Times New Roman"/>
          <w:sz w:val="21"/>
          <w:szCs w:val="21"/>
        </w:rPr>
        <w:t>应用本标准时，为证明LC</w:t>
      </w:r>
      <w:r>
        <w:rPr>
          <w:rFonts w:ascii="Times New Roman" w:hAnsi="Times New Roman"/>
          <w:sz w:val="21"/>
          <w:szCs w:val="21"/>
          <w:vertAlign w:val="subscript"/>
        </w:rPr>
        <w:t>50</w:t>
      </w:r>
      <w:r>
        <w:rPr>
          <w:rFonts w:hint="eastAsia" w:ascii="Times New Roman" w:hAnsi="Times New Roman"/>
          <w:sz w:val="21"/>
          <w:szCs w:val="21"/>
          <w:vertAlign w:val="subscript"/>
        </w:rPr>
        <w:t xml:space="preserve"> </w:t>
      </w:r>
      <w:r>
        <w:rPr>
          <w:rFonts w:ascii="Times New Roman" w:hAnsi="Times New Roman"/>
          <w:sz w:val="21"/>
          <w:szCs w:val="21"/>
        </w:rPr>
        <w:t>&gt;</w:t>
      </w:r>
      <w:r>
        <w:rPr>
          <w:rFonts w:hint="eastAsia" w:ascii="Times New Roman" w:hAnsi="Times New Roman"/>
          <w:sz w:val="21"/>
          <w:szCs w:val="21"/>
        </w:rPr>
        <w:t xml:space="preserve"> </w:t>
      </w:r>
      <w:r>
        <w:rPr>
          <w:rFonts w:ascii="Times New Roman" w:hAnsi="Times New Roman"/>
          <w:sz w:val="21"/>
          <w:szCs w:val="21"/>
        </w:rPr>
        <w:t>100</w:t>
      </w:r>
      <w:r>
        <w:rPr>
          <w:rFonts w:hint="eastAsia" w:ascii="Times New Roman" w:hAnsi="Times New Roman"/>
          <w:sz w:val="21"/>
          <w:szCs w:val="21"/>
        </w:rPr>
        <w:t xml:space="preserve"> </w:t>
      </w:r>
      <w:r>
        <w:rPr>
          <w:rFonts w:ascii="Times New Roman" w:hAnsi="Times New Roman"/>
          <w:sz w:val="21"/>
          <w:szCs w:val="21"/>
        </w:rPr>
        <w:t>mg/L</w:t>
      </w:r>
      <w:r>
        <w:rPr>
          <w:rFonts w:hint="eastAsia" w:ascii="Times New Roman" w:hAnsi="Times New Roman"/>
          <w:sz w:val="21"/>
          <w:szCs w:val="21"/>
        </w:rPr>
        <w:t>，</w:t>
      </w:r>
      <w:r>
        <w:rPr>
          <w:rFonts w:ascii="Times New Roman" w:hAnsi="Times New Roman"/>
          <w:sz w:val="21"/>
          <w:szCs w:val="21"/>
        </w:rPr>
        <w:t>可以进行浓度为100</w:t>
      </w:r>
      <w:r>
        <w:rPr>
          <w:rFonts w:hint="eastAsia" w:ascii="Times New Roman" w:hAnsi="Times New Roman"/>
          <w:sz w:val="21"/>
          <w:szCs w:val="21"/>
        </w:rPr>
        <w:t xml:space="preserve"> </w:t>
      </w:r>
      <w:r>
        <w:rPr>
          <w:rFonts w:ascii="Times New Roman" w:hAnsi="Times New Roman"/>
          <w:sz w:val="21"/>
          <w:szCs w:val="21"/>
        </w:rPr>
        <w:t>mg/L</w:t>
      </w:r>
      <w:r>
        <w:rPr>
          <w:rFonts w:hint="eastAsia" w:ascii="Times New Roman" w:hAnsi="Times New Roman"/>
          <w:sz w:val="21"/>
          <w:szCs w:val="21"/>
        </w:rPr>
        <w:t>（</w:t>
      </w:r>
      <w:r>
        <w:rPr>
          <w:rFonts w:ascii="Times New Roman" w:hAnsi="Times New Roman"/>
          <w:sz w:val="21"/>
          <w:szCs w:val="21"/>
        </w:rPr>
        <w:t>有效成分</w:t>
      </w:r>
      <w:r>
        <w:rPr>
          <w:rFonts w:hint="eastAsia" w:ascii="Times New Roman" w:hAnsi="Times New Roman"/>
          <w:sz w:val="21"/>
          <w:szCs w:val="21"/>
        </w:rPr>
        <w:t>）</w:t>
      </w:r>
      <w:r>
        <w:rPr>
          <w:rFonts w:ascii="Times New Roman" w:hAnsi="Times New Roman"/>
          <w:sz w:val="21"/>
          <w:szCs w:val="21"/>
        </w:rPr>
        <w:t>的限度试验。限度试验组至少使用7尾水产养殖动物，与对照组使用的水产养殖动物数目相等。二项式理论表明：使用10尾水产养殖动物，没有1尾水产养殖动物死亡，那么LC</w:t>
      </w:r>
      <w:r>
        <w:rPr>
          <w:rFonts w:ascii="Times New Roman" w:hAnsi="Times New Roman"/>
          <w:sz w:val="21"/>
          <w:szCs w:val="21"/>
          <w:vertAlign w:val="subscript"/>
        </w:rPr>
        <w:t>50</w:t>
      </w:r>
      <w:r>
        <w:rPr>
          <w:rFonts w:hint="eastAsia" w:ascii="Times New Roman" w:hAnsi="Times New Roman"/>
          <w:sz w:val="21"/>
          <w:szCs w:val="21"/>
          <w:vertAlign w:val="subscript"/>
        </w:rPr>
        <w:t xml:space="preserve"> </w:t>
      </w:r>
      <w:r>
        <w:rPr>
          <w:rFonts w:ascii="Times New Roman" w:hAnsi="Times New Roman"/>
          <w:sz w:val="21"/>
          <w:szCs w:val="21"/>
        </w:rPr>
        <w:t>&gt;</w:t>
      </w:r>
      <w:r>
        <w:rPr>
          <w:rFonts w:hint="eastAsia" w:ascii="Times New Roman" w:hAnsi="Times New Roman"/>
          <w:sz w:val="21"/>
          <w:szCs w:val="21"/>
        </w:rPr>
        <w:t xml:space="preserve"> </w:t>
      </w:r>
      <w:r>
        <w:rPr>
          <w:rFonts w:ascii="Times New Roman" w:hAnsi="Times New Roman"/>
          <w:sz w:val="21"/>
          <w:szCs w:val="21"/>
        </w:rPr>
        <w:t>100</w:t>
      </w:r>
      <w:r>
        <w:rPr>
          <w:rFonts w:hint="eastAsia" w:ascii="Times New Roman" w:hAnsi="Times New Roman"/>
          <w:sz w:val="21"/>
          <w:szCs w:val="21"/>
        </w:rPr>
        <w:t xml:space="preserve"> </w:t>
      </w:r>
      <w:r>
        <w:rPr>
          <w:rFonts w:ascii="Times New Roman" w:hAnsi="Times New Roman"/>
          <w:sz w:val="21"/>
          <w:szCs w:val="21"/>
        </w:rPr>
        <w:t>mg/L的概率为99.9%</w:t>
      </w:r>
      <w:r>
        <w:rPr>
          <w:rFonts w:hint="eastAsia" w:ascii="Times New Roman" w:hAnsi="Times New Roman"/>
          <w:sz w:val="21"/>
          <w:szCs w:val="21"/>
        </w:rPr>
        <w:t>；</w:t>
      </w:r>
      <w:r>
        <w:rPr>
          <w:rFonts w:ascii="Times New Roman" w:hAnsi="Times New Roman"/>
          <w:sz w:val="21"/>
          <w:szCs w:val="21"/>
        </w:rPr>
        <w:t>使用7尾、8尾或9尾水产养殖动物，没有1尾水产养殖动物死亡，那么LC</w:t>
      </w:r>
      <w:r>
        <w:rPr>
          <w:rFonts w:ascii="Times New Roman" w:hAnsi="Times New Roman"/>
          <w:sz w:val="21"/>
          <w:szCs w:val="21"/>
          <w:vertAlign w:val="subscript"/>
        </w:rPr>
        <w:t>50</w:t>
      </w:r>
      <w:r>
        <w:rPr>
          <w:rFonts w:hint="eastAsia" w:ascii="Times New Roman" w:hAnsi="Times New Roman"/>
          <w:sz w:val="21"/>
          <w:szCs w:val="21"/>
          <w:vertAlign w:val="subscript"/>
        </w:rPr>
        <w:t xml:space="preserve"> </w:t>
      </w:r>
      <w:r>
        <w:rPr>
          <w:rFonts w:ascii="Times New Roman" w:hAnsi="Times New Roman"/>
          <w:sz w:val="21"/>
          <w:szCs w:val="21"/>
        </w:rPr>
        <w:t>&gt; 100</w:t>
      </w:r>
      <w:r>
        <w:rPr>
          <w:rFonts w:hint="eastAsia" w:ascii="Times New Roman" w:hAnsi="Times New Roman"/>
          <w:sz w:val="21"/>
          <w:szCs w:val="21"/>
        </w:rPr>
        <w:t xml:space="preserve"> </w:t>
      </w:r>
      <w:r>
        <w:rPr>
          <w:rFonts w:ascii="Times New Roman" w:hAnsi="Times New Roman"/>
          <w:sz w:val="21"/>
          <w:szCs w:val="21"/>
        </w:rPr>
        <w:t>mg/L的概率至少为99%。如果试验水产养殖动物发生死亡，则应按本标准的试验程序进行完整的试验。若观察到亚致死效应，应进行记录。</w:t>
      </w:r>
    </w:p>
    <w:p w14:paraId="30C9522D">
      <w:pPr>
        <w:pStyle w:val="14"/>
        <w:spacing w:before="215" w:line="293" w:lineRule="auto"/>
        <w:ind w:right="67"/>
        <w:rPr>
          <w:rFonts w:hint="eastAsia" w:ascii="黑体" w:hAnsi="黑体" w:eastAsia="黑体" w:cs="黑体"/>
        </w:rPr>
      </w:pPr>
      <w:r>
        <w:rPr>
          <w:rFonts w:hint="eastAsia" w:ascii="黑体" w:hAnsi="黑体" w:eastAsia="黑体" w:cs="黑体"/>
          <w:sz w:val="23"/>
          <w:szCs w:val="23"/>
        </w:rPr>
        <w:t>4 质量控制</w:t>
      </w:r>
    </w:p>
    <w:p w14:paraId="3ED3E544">
      <w:pPr>
        <w:pStyle w:val="14"/>
        <w:spacing w:after="0" w:line="276" w:lineRule="auto"/>
        <w:ind w:left="429"/>
        <w:rPr>
          <w:rFonts w:ascii="Times New Roman" w:hAnsi="Times New Roman"/>
        </w:rPr>
      </w:pPr>
      <w:r>
        <w:rPr>
          <w:rFonts w:ascii="Times New Roman" w:hAnsi="Times New Roman"/>
        </w:rPr>
        <w:t>有效的试验应符合以下条件：</w:t>
      </w:r>
    </w:p>
    <w:p w14:paraId="749FFB21">
      <w:pPr>
        <w:pStyle w:val="14"/>
        <w:spacing w:after="0" w:line="276" w:lineRule="auto"/>
        <w:ind w:firstLine="420" w:firstLineChars="200"/>
        <w:rPr>
          <w:rFonts w:ascii="Times New Roman" w:hAnsi="Times New Roman"/>
        </w:rPr>
      </w:pPr>
      <w:r>
        <w:rPr>
          <w:rFonts w:ascii="Times New Roman" w:hAnsi="Times New Roman"/>
        </w:rPr>
        <w:t>——试验期间，尽可能维持恒定条件。如有必要，应使用半静态或流水式试验；</w:t>
      </w:r>
    </w:p>
    <w:p w14:paraId="78103499">
      <w:pPr>
        <w:pStyle w:val="14"/>
        <w:spacing w:after="0" w:line="276" w:lineRule="auto"/>
        <w:ind w:right="53" w:firstLine="420" w:firstLineChars="200"/>
        <w:rPr>
          <w:rFonts w:ascii="Times New Roman" w:hAnsi="Times New Roman"/>
        </w:rPr>
      </w:pPr>
      <w:r>
        <w:rPr>
          <w:rFonts w:ascii="Times New Roman" w:hAnsi="Times New Roman"/>
        </w:rPr>
        <w:t>——试验结束时，对照组水产养殖动物死亡率不大于10%</w:t>
      </w:r>
      <w:r>
        <w:rPr>
          <w:rFonts w:hint="eastAsia" w:ascii="Times New Roman" w:hAnsi="Times New Roman"/>
        </w:rPr>
        <w:t>，</w:t>
      </w:r>
      <w:r>
        <w:rPr>
          <w:rFonts w:ascii="Times New Roman" w:hAnsi="Times New Roman"/>
        </w:rPr>
        <w:t>如果每组水产养殖动物不到10尾则对照组死亡不超过1尾；</w:t>
      </w:r>
    </w:p>
    <w:p w14:paraId="6B4B0585">
      <w:pPr>
        <w:pStyle w:val="14"/>
        <w:spacing w:after="0" w:line="276" w:lineRule="auto"/>
        <w:ind w:left="499" w:right="53" w:hanging="70"/>
        <w:rPr>
          <w:rFonts w:ascii="Times New Roman" w:hAnsi="Times New Roman"/>
        </w:rPr>
      </w:pPr>
      <w:r>
        <w:rPr>
          <w:rFonts w:ascii="Times New Roman" w:hAnsi="Times New Roman"/>
        </w:rPr>
        <w:t>——试验期间，试验溶液的溶解氧浓度不小于60%空气饱和值；</w:t>
      </w:r>
    </w:p>
    <w:p w14:paraId="7BC587C1">
      <w:pPr>
        <w:pStyle w:val="14"/>
        <w:spacing w:after="0" w:line="276" w:lineRule="auto"/>
        <w:ind w:right="53" w:firstLine="420" w:firstLineChars="200"/>
        <w:rPr>
          <w:rFonts w:cs="宋体"/>
        </w:rPr>
      </w:pPr>
      <w:r>
        <w:rPr>
          <w:rFonts w:ascii="Times New Roman" w:hAnsi="Times New Roman"/>
        </w:rPr>
        <w:t>——试验期间，受试物的实测浓度应不小于80%配制浓度。如果试验期间受试物实测浓度与配制浓度相差超过20%，则以受试物实测浓度平均值来确定试验结果。</w:t>
      </w:r>
    </w:p>
    <w:p w14:paraId="64C3547B">
      <w:pPr>
        <w:pStyle w:val="14"/>
        <w:spacing w:before="215" w:line="293" w:lineRule="auto"/>
        <w:ind w:right="67"/>
        <w:rPr>
          <w:rFonts w:hint="eastAsia" w:ascii="黑体" w:hAnsi="黑体" w:eastAsia="黑体" w:cs="黑体"/>
          <w:sz w:val="23"/>
          <w:szCs w:val="23"/>
        </w:rPr>
      </w:pPr>
      <w:r>
        <w:rPr>
          <w:rFonts w:hint="eastAsia" w:ascii="黑体" w:hAnsi="黑体" w:eastAsia="黑体" w:cs="黑体"/>
          <w:sz w:val="23"/>
          <w:szCs w:val="23"/>
        </w:rPr>
        <w:t>5 数据与报告</w:t>
      </w:r>
    </w:p>
    <w:p w14:paraId="538BB46B">
      <w:pPr>
        <w:pStyle w:val="14"/>
        <w:spacing w:before="303" w:line="219" w:lineRule="auto"/>
        <w:ind w:left="3"/>
        <w:outlineLvl w:val="0"/>
        <w:rPr>
          <w:rFonts w:hint="eastAsia" w:ascii="黑体" w:hAnsi="黑体" w:eastAsia="黑体" w:cs="黑体"/>
          <w:sz w:val="23"/>
          <w:szCs w:val="23"/>
        </w:rPr>
      </w:pPr>
      <w:r>
        <w:rPr>
          <w:rFonts w:hint="eastAsia" w:ascii="黑体" w:hAnsi="黑体" w:eastAsia="黑体" w:cs="黑体"/>
          <w:sz w:val="23"/>
          <w:szCs w:val="23"/>
        </w:rPr>
        <w:t>5.1 数据处理</w:t>
      </w:r>
    </w:p>
    <w:p w14:paraId="041A4F4D">
      <w:pPr>
        <w:pStyle w:val="14"/>
        <w:spacing w:after="0" w:line="276" w:lineRule="auto"/>
        <w:ind w:right="8" w:firstLine="431"/>
        <w:rPr>
          <w:rFonts w:ascii="Times New Roman" w:hAnsi="Times New Roman"/>
        </w:rPr>
      </w:pPr>
      <w:r>
        <w:rPr>
          <w:rFonts w:ascii="Times New Roman" w:hAnsi="Times New Roman"/>
        </w:rPr>
        <w:t>在对数-概率坐标纸上，绘制不同暴露时间下试验浓度对累计死亡率的曲线。用常用统计程序计算出某暴露时间的LC</w:t>
      </w:r>
      <w:r>
        <w:rPr>
          <w:rFonts w:ascii="Times New Roman" w:hAnsi="Times New Roman"/>
          <w:vertAlign w:val="subscript"/>
        </w:rPr>
        <w:t>50</w:t>
      </w:r>
      <w:r>
        <w:rPr>
          <w:rFonts w:ascii="Times New Roman" w:hAnsi="Times New Roman"/>
        </w:rPr>
        <w:t>值，并用标准方法计算95%的置信限。</w:t>
      </w:r>
    </w:p>
    <w:p w14:paraId="5C84202E">
      <w:pPr>
        <w:pStyle w:val="14"/>
        <w:spacing w:after="0" w:line="276" w:lineRule="auto"/>
        <w:ind w:right="7" w:firstLine="431"/>
        <w:rPr>
          <w:rFonts w:ascii="Times New Roman" w:hAnsi="Times New Roman"/>
        </w:rPr>
      </w:pPr>
      <w:r>
        <w:rPr>
          <w:rFonts w:ascii="Times New Roman" w:hAnsi="Times New Roman"/>
        </w:rPr>
        <w:t>如果试验数据不足以用标准方法计算LC</w:t>
      </w:r>
      <w:r>
        <w:rPr>
          <w:rFonts w:ascii="Times New Roman" w:hAnsi="Times New Roman"/>
          <w:vertAlign w:val="subscript"/>
        </w:rPr>
        <w:t>50</w:t>
      </w:r>
      <w:r>
        <w:rPr>
          <w:rFonts w:hint="eastAsia" w:ascii="Times New Roman" w:hAnsi="Times New Roman"/>
        </w:rPr>
        <w:t>，</w:t>
      </w:r>
      <w:r>
        <w:rPr>
          <w:rFonts w:ascii="Times New Roman" w:hAnsi="Times New Roman"/>
        </w:rPr>
        <w:t>可用不引起死亡的最高浓度和引起100%死亡的最低死亡浓度估算LC</w:t>
      </w:r>
      <w:r>
        <w:rPr>
          <w:rFonts w:ascii="Times New Roman" w:hAnsi="Times New Roman"/>
          <w:vertAlign w:val="subscript"/>
        </w:rPr>
        <w:t>50</w:t>
      </w:r>
      <w:r>
        <w:rPr>
          <w:rFonts w:ascii="Times New Roman" w:hAnsi="Times New Roman"/>
        </w:rPr>
        <w:t>的近似值，即这两个浓度的几何平均值。</w:t>
      </w:r>
    </w:p>
    <w:p w14:paraId="2D077D03">
      <w:pPr>
        <w:pStyle w:val="14"/>
        <w:spacing w:before="157" w:line="218" w:lineRule="auto"/>
        <w:ind w:left="3"/>
        <w:outlineLvl w:val="0"/>
        <w:rPr>
          <w:rFonts w:hint="eastAsia" w:ascii="黑体" w:hAnsi="黑体" w:eastAsia="黑体" w:cs="黑体"/>
          <w:sz w:val="23"/>
          <w:szCs w:val="23"/>
        </w:rPr>
      </w:pPr>
      <w:r>
        <w:rPr>
          <w:rFonts w:hint="eastAsia" w:ascii="黑体" w:hAnsi="黑体" w:eastAsia="黑体" w:cs="黑体"/>
          <w:sz w:val="23"/>
          <w:szCs w:val="23"/>
        </w:rPr>
        <w:t>5.2 试验报告</w:t>
      </w:r>
    </w:p>
    <w:p w14:paraId="14C7971D">
      <w:pPr>
        <w:pStyle w:val="14"/>
        <w:spacing w:after="0" w:line="276" w:lineRule="auto"/>
        <w:ind w:firstLine="431"/>
        <w:rPr>
          <w:rFonts w:ascii="Times New Roman" w:hAnsi="Times New Roman"/>
        </w:rPr>
      </w:pPr>
      <w:r>
        <w:rPr>
          <w:rFonts w:ascii="Times New Roman" w:hAnsi="Times New Roman"/>
        </w:rPr>
        <w:t>试验报告应包括以下内容：</w:t>
      </w:r>
    </w:p>
    <w:p w14:paraId="7A4BA662">
      <w:pPr>
        <w:pStyle w:val="14"/>
        <w:spacing w:after="0" w:line="276" w:lineRule="auto"/>
        <w:ind w:firstLine="431"/>
        <w:rPr>
          <w:rFonts w:ascii="Times New Roman" w:hAnsi="Times New Roman"/>
        </w:rPr>
      </w:pPr>
      <w:r>
        <w:rPr>
          <w:rFonts w:ascii="Times New Roman" w:hAnsi="Times New Roman"/>
        </w:rPr>
        <w:t>a）受试物质：</w:t>
      </w:r>
    </w:p>
    <w:p w14:paraId="1A514D6E">
      <w:pPr>
        <w:pStyle w:val="14"/>
        <w:spacing w:after="0" w:line="276" w:lineRule="auto"/>
        <w:ind w:firstLine="431"/>
        <w:rPr>
          <w:rFonts w:ascii="Times New Roman" w:hAnsi="Times New Roman"/>
        </w:rPr>
      </w:pPr>
      <w:r>
        <w:rPr>
          <w:rFonts w:ascii="Times New Roman" w:hAnsi="Times New Roman"/>
        </w:rPr>
        <w:t>——物质的物理状态及相关理化特性等；</w:t>
      </w:r>
    </w:p>
    <w:p w14:paraId="2814F810">
      <w:pPr>
        <w:pStyle w:val="14"/>
        <w:spacing w:after="0" w:line="276" w:lineRule="auto"/>
        <w:ind w:firstLine="431"/>
        <w:rPr>
          <w:rFonts w:ascii="Times New Roman" w:hAnsi="Times New Roman"/>
        </w:rPr>
      </w:pPr>
      <w:r>
        <w:rPr>
          <w:rFonts w:ascii="Times New Roman" w:hAnsi="Times New Roman"/>
        </w:rPr>
        <w:t>——标识信息。</w:t>
      </w:r>
    </w:p>
    <w:p w14:paraId="136363B9">
      <w:pPr>
        <w:pStyle w:val="14"/>
        <w:spacing w:after="0" w:line="276" w:lineRule="auto"/>
        <w:ind w:firstLine="431"/>
        <w:rPr>
          <w:rFonts w:ascii="Times New Roman" w:hAnsi="Times New Roman"/>
        </w:rPr>
      </w:pPr>
      <w:r>
        <w:rPr>
          <w:rFonts w:ascii="Times New Roman" w:hAnsi="Times New Roman"/>
        </w:rPr>
        <w:t>b）试验用水产养殖动物：</w:t>
      </w:r>
    </w:p>
    <w:p w14:paraId="3D7C9D04">
      <w:pPr>
        <w:pStyle w:val="14"/>
        <w:spacing w:after="0" w:line="276" w:lineRule="auto"/>
        <w:ind w:firstLine="431"/>
        <w:rPr>
          <w:rFonts w:ascii="Times New Roman" w:hAnsi="Times New Roman"/>
        </w:rPr>
      </w:pPr>
      <w:r>
        <w:rPr>
          <w:rFonts w:ascii="Times New Roman" w:hAnsi="Times New Roman"/>
        </w:rPr>
        <w:t>——学名、品系、大小、来源、驯化情况等。</w:t>
      </w:r>
    </w:p>
    <w:p w14:paraId="28F987F3">
      <w:pPr>
        <w:pStyle w:val="14"/>
        <w:spacing w:after="0" w:line="276" w:lineRule="auto"/>
        <w:ind w:firstLine="431"/>
        <w:rPr>
          <w:rFonts w:ascii="Times New Roman" w:hAnsi="Times New Roman"/>
        </w:rPr>
      </w:pPr>
      <w:r>
        <w:rPr>
          <w:rFonts w:ascii="Times New Roman" w:hAnsi="Times New Roman"/>
        </w:rPr>
        <w:t>c）试验条件：</w:t>
      </w:r>
    </w:p>
    <w:p w14:paraId="4E07B26D">
      <w:pPr>
        <w:pStyle w:val="14"/>
        <w:spacing w:after="0" w:line="276" w:lineRule="auto"/>
        <w:ind w:firstLine="431"/>
        <w:rPr>
          <w:rFonts w:ascii="Times New Roman" w:hAnsi="Times New Roman"/>
        </w:rPr>
      </w:pPr>
      <w:r>
        <w:rPr>
          <w:rFonts w:ascii="Times New Roman" w:hAnsi="Times New Roman"/>
        </w:rPr>
        <w:t>——使用的试验方式，如静态、半静态或流水式，以及曝气、承载量等；</w:t>
      </w:r>
    </w:p>
    <w:p w14:paraId="52038F45">
      <w:pPr>
        <w:pStyle w:val="14"/>
        <w:spacing w:after="0" w:line="276" w:lineRule="auto"/>
        <w:ind w:firstLine="431"/>
        <w:rPr>
          <w:rFonts w:ascii="Times New Roman" w:hAnsi="Times New Roman"/>
        </w:rPr>
      </w:pPr>
      <w:r>
        <w:rPr>
          <w:rFonts w:ascii="Times New Roman" w:hAnsi="Times New Roman"/>
        </w:rPr>
        <w:t>——水质特性（pH值、硬度、温度）；</w:t>
      </w:r>
    </w:p>
    <w:p w14:paraId="621265BF">
      <w:pPr>
        <w:pStyle w:val="14"/>
        <w:spacing w:after="0" w:line="276" w:lineRule="auto"/>
        <w:ind w:firstLine="431"/>
        <w:rPr>
          <w:rFonts w:ascii="Times New Roman" w:hAnsi="Times New Roman"/>
        </w:rPr>
      </w:pPr>
      <w:r>
        <w:rPr>
          <w:rFonts w:ascii="Times New Roman" w:hAnsi="Times New Roman"/>
        </w:rPr>
        <w:t>——每24 h试验溶液中的溶解氧浓度、pH值、温度；</w:t>
      </w:r>
    </w:p>
    <w:p w14:paraId="76E0CA54">
      <w:pPr>
        <w:pStyle w:val="14"/>
        <w:spacing w:after="0" w:line="276" w:lineRule="auto"/>
        <w:ind w:firstLine="431"/>
        <w:rPr>
          <w:rFonts w:ascii="Times New Roman" w:hAnsi="Times New Roman"/>
        </w:rPr>
      </w:pPr>
      <w:r>
        <w:rPr>
          <w:rFonts w:ascii="Times New Roman" w:hAnsi="Times New Roman"/>
        </w:rPr>
        <w:t>——对于半静态试验方式，试验液更新前后分别测定的pH值；</w:t>
      </w:r>
    </w:p>
    <w:p w14:paraId="512BD626">
      <w:pPr>
        <w:pStyle w:val="14"/>
        <w:spacing w:after="0" w:line="276" w:lineRule="auto"/>
        <w:ind w:firstLine="431"/>
        <w:rPr>
          <w:rFonts w:ascii="Times New Roman" w:hAnsi="Times New Roman"/>
        </w:rPr>
      </w:pPr>
      <w:r>
        <w:rPr>
          <w:rFonts w:ascii="Times New Roman" w:hAnsi="Times New Roman"/>
        </w:rPr>
        <w:t>——贮备液及试验溶液配制方法；</w:t>
      </w:r>
    </w:p>
    <w:p w14:paraId="44566362">
      <w:pPr>
        <w:pStyle w:val="14"/>
        <w:spacing w:after="0" w:line="276" w:lineRule="auto"/>
        <w:ind w:firstLine="431"/>
        <w:rPr>
          <w:rFonts w:ascii="Times New Roman" w:hAnsi="Times New Roman"/>
        </w:rPr>
      </w:pPr>
      <w:r>
        <w:rPr>
          <w:rFonts w:ascii="Times New Roman" w:hAnsi="Times New Roman"/>
        </w:rPr>
        <w:t>——配制的试验浓度；</w:t>
      </w:r>
    </w:p>
    <w:p w14:paraId="1D6FBE67">
      <w:pPr>
        <w:pStyle w:val="14"/>
        <w:spacing w:after="0" w:line="276" w:lineRule="auto"/>
        <w:ind w:firstLine="431"/>
        <w:rPr>
          <w:rFonts w:ascii="Times New Roman" w:hAnsi="Times New Roman"/>
        </w:rPr>
      </w:pPr>
      <w:r>
        <w:rPr>
          <w:rFonts w:ascii="Times New Roman" w:hAnsi="Times New Roman"/>
        </w:rPr>
        <w:t>——试验溶液中受试物的实测浓度；</w:t>
      </w:r>
    </w:p>
    <w:p w14:paraId="4DCD320E">
      <w:pPr>
        <w:pStyle w:val="14"/>
        <w:spacing w:after="0" w:line="276" w:lineRule="auto"/>
        <w:ind w:firstLine="431"/>
        <w:rPr>
          <w:rFonts w:ascii="Times New Roman" w:hAnsi="Times New Roman"/>
        </w:rPr>
      </w:pPr>
      <w:r>
        <w:rPr>
          <w:rFonts w:ascii="Times New Roman" w:hAnsi="Times New Roman"/>
        </w:rPr>
        <w:t>——每一试验浓度用水产养殖动物的数目。</w:t>
      </w:r>
    </w:p>
    <w:p w14:paraId="7F5EB6C7">
      <w:pPr>
        <w:pStyle w:val="14"/>
        <w:spacing w:after="0" w:line="276" w:lineRule="auto"/>
        <w:ind w:firstLine="431"/>
        <w:rPr>
          <w:rFonts w:ascii="Times New Roman" w:hAnsi="Times New Roman"/>
        </w:rPr>
      </w:pPr>
      <w:r>
        <w:rPr>
          <w:rFonts w:ascii="Times New Roman" w:hAnsi="Times New Roman"/>
        </w:rPr>
        <w:t>d）结果：</w:t>
      </w:r>
    </w:p>
    <w:p w14:paraId="46B6EF74">
      <w:pPr>
        <w:pStyle w:val="14"/>
        <w:spacing w:after="0" w:line="276" w:lineRule="auto"/>
        <w:ind w:firstLine="431"/>
        <w:rPr>
          <w:rFonts w:ascii="Times New Roman" w:hAnsi="Times New Roman"/>
        </w:rPr>
      </w:pPr>
      <w:r>
        <w:rPr>
          <w:rFonts w:ascii="Times New Roman" w:hAnsi="Times New Roman"/>
        </w:rPr>
        <w:t>——试验期间，无死亡发生的最高浓度；</w:t>
      </w:r>
    </w:p>
    <w:p w14:paraId="07B3803A">
      <w:pPr>
        <w:pStyle w:val="14"/>
        <w:spacing w:after="0" w:line="276" w:lineRule="auto"/>
        <w:ind w:firstLine="431"/>
        <w:rPr>
          <w:rFonts w:ascii="Times New Roman" w:hAnsi="Times New Roman"/>
        </w:rPr>
      </w:pPr>
      <w:r>
        <w:rPr>
          <w:rFonts w:ascii="Times New Roman" w:hAnsi="Times New Roman"/>
        </w:rPr>
        <w:t>——试验期间，导致100%死亡的最低浓度；</w:t>
      </w:r>
    </w:p>
    <w:p w14:paraId="49EAA545">
      <w:pPr>
        <w:pStyle w:val="14"/>
        <w:spacing w:after="0" w:line="276" w:lineRule="auto"/>
        <w:ind w:firstLine="431"/>
        <w:rPr>
          <w:rFonts w:ascii="Times New Roman" w:hAnsi="Times New Roman"/>
        </w:rPr>
      </w:pPr>
      <w:r>
        <w:rPr>
          <w:rFonts w:ascii="Times New Roman" w:hAnsi="Times New Roman"/>
        </w:rPr>
        <w:t>——每个推荐观察时间下，各个浓度的累计死亡率；</w:t>
      </w:r>
    </w:p>
    <w:p w14:paraId="51B22B8A">
      <w:pPr>
        <w:pStyle w:val="14"/>
        <w:spacing w:after="0" w:line="276" w:lineRule="auto"/>
        <w:ind w:firstLine="431"/>
        <w:rPr>
          <w:rFonts w:ascii="Times New Roman" w:hAnsi="Times New Roman"/>
        </w:rPr>
      </w:pPr>
      <w:r>
        <w:rPr>
          <w:rFonts w:ascii="Times New Roman" w:hAnsi="Times New Roman"/>
        </w:rPr>
        <w:t>——每个推荐观察时间下的LC</w:t>
      </w:r>
      <w:r>
        <w:rPr>
          <w:rFonts w:ascii="Times New Roman" w:hAnsi="Times New Roman"/>
          <w:vertAlign w:val="subscript"/>
        </w:rPr>
        <w:t>50</w:t>
      </w:r>
      <w:r>
        <w:rPr>
          <w:rFonts w:ascii="Times New Roman" w:hAnsi="Times New Roman"/>
        </w:rPr>
        <w:t>值，及其95%的置信限；</w:t>
      </w:r>
    </w:p>
    <w:p w14:paraId="27B78EAC">
      <w:pPr>
        <w:pStyle w:val="14"/>
        <w:spacing w:after="0" w:line="276" w:lineRule="auto"/>
        <w:ind w:firstLine="431"/>
        <w:rPr>
          <w:rFonts w:ascii="Times New Roman" w:hAnsi="Times New Roman"/>
        </w:rPr>
      </w:pPr>
      <w:r>
        <w:rPr>
          <w:rFonts w:ascii="Times New Roman" w:hAnsi="Times New Roman"/>
        </w:rPr>
        <w:t>——试验结束后的浓度-死亡率曲线图；</w:t>
      </w:r>
    </w:p>
    <w:p w14:paraId="6051AEA9">
      <w:pPr>
        <w:pStyle w:val="14"/>
        <w:spacing w:after="0" w:line="276" w:lineRule="auto"/>
        <w:ind w:firstLine="431"/>
        <w:rPr>
          <w:rFonts w:ascii="Times New Roman" w:hAnsi="Times New Roman"/>
        </w:rPr>
      </w:pPr>
      <w:r>
        <w:rPr>
          <w:rFonts w:ascii="Times New Roman" w:hAnsi="Times New Roman"/>
        </w:rPr>
        <w:t>——确定LC</w:t>
      </w:r>
      <w:r>
        <w:rPr>
          <w:rFonts w:ascii="Times New Roman" w:hAnsi="Times New Roman"/>
          <w:vertAlign w:val="subscript"/>
        </w:rPr>
        <w:t>50</w:t>
      </w:r>
      <w:r>
        <w:rPr>
          <w:rFonts w:ascii="Times New Roman" w:hAnsi="Times New Roman"/>
        </w:rPr>
        <w:t>值的统计学方法；</w:t>
      </w:r>
    </w:p>
    <w:p w14:paraId="32DDCC89">
      <w:pPr>
        <w:pStyle w:val="14"/>
        <w:spacing w:after="0" w:line="276" w:lineRule="auto"/>
        <w:ind w:firstLine="431"/>
        <w:rPr>
          <w:rFonts w:ascii="Times New Roman" w:hAnsi="Times New Roman"/>
        </w:rPr>
      </w:pPr>
      <w:r>
        <w:rPr>
          <w:rFonts w:ascii="Times New Roman" w:hAnsi="Times New Roman"/>
        </w:rPr>
        <w:t>——对照组的死亡率；</w:t>
      </w:r>
    </w:p>
    <w:p w14:paraId="57352ABB">
      <w:pPr>
        <w:pStyle w:val="14"/>
        <w:spacing w:after="0" w:line="276" w:lineRule="auto"/>
        <w:ind w:firstLine="431"/>
        <w:rPr>
          <w:rFonts w:ascii="Times New Roman" w:hAnsi="Times New Roman"/>
        </w:rPr>
      </w:pPr>
      <w:r>
        <w:rPr>
          <w:rFonts w:ascii="Times New Roman" w:hAnsi="Times New Roman"/>
        </w:rPr>
        <w:t>——试验期间，可能会影响试验结果的因素；</w:t>
      </w:r>
    </w:p>
    <w:p w14:paraId="67BFCD17">
      <w:pPr>
        <w:pStyle w:val="14"/>
        <w:spacing w:after="0" w:line="276" w:lineRule="auto"/>
        <w:ind w:firstLine="431"/>
        <w:rPr>
          <w:rFonts w:ascii="Times New Roman" w:hAnsi="Times New Roman"/>
          <w:sz w:val="22"/>
          <w:szCs w:val="22"/>
        </w:rPr>
      </w:pPr>
      <w:r>
        <w:rPr>
          <w:rFonts w:ascii="Times New Roman" w:hAnsi="Times New Roman"/>
        </w:rPr>
        <w:t>——水产养殖动物的异常反应。</w:t>
      </w:r>
    </w:p>
    <w:p w14:paraId="3E5EB975">
      <w:pPr>
        <w:sectPr>
          <w:headerReference r:id="rId12" w:type="default"/>
          <w:footerReference r:id="rId13" w:type="default"/>
          <w:pgSz w:w="11906" w:h="16838"/>
          <w:pgMar w:top="1928" w:right="1134" w:bottom="1134" w:left="1134" w:header="1418" w:footer="1134" w:gutter="284"/>
          <w:pgNumType w:start="1"/>
          <w:cols w:space="425" w:num="1"/>
          <w:formProt w:val="0"/>
          <w:docGrid w:linePitch="312" w:charSpace="0"/>
        </w:sectPr>
      </w:pPr>
    </w:p>
    <w:bookmarkEnd w:id="20"/>
    <w:p w14:paraId="0AA37DE8">
      <w:pPr>
        <w:pStyle w:val="62"/>
        <w:ind w:firstLine="0" w:firstLineChars="0"/>
        <w:jc w:val="center"/>
        <w:rPr>
          <w:rFonts w:hint="eastAsia" w:ascii="黑体" w:hAnsi="黑体" w:eastAsia="黑体" w:cs="黑体"/>
        </w:rPr>
      </w:pPr>
      <w:bookmarkStart w:id="43" w:name="BookMark8"/>
      <w:r>
        <w:rPr>
          <w:rFonts w:hint="eastAsia" w:ascii="黑体" w:hAnsi="黑体" w:eastAsia="黑体" w:cs="黑体"/>
        </w:rPr>
        <w:t>附录B</w:t>
      </w:r>
    </w:p>
    <w:p w14:paraId="4CD086A3">
      <w:pPr>
        <w:pStyle w:val="14"/>
        <w:jc w:val="center"/>
        <w:rPr>
          <w:rFonts w:ascii="Times New Roman" w:hAnsi="Times New Roman" w:eastAsia="黑体"/>
          <w:kern w:val="0"/>
          <w:szCs w:val="20"/>
        </w:rPr>
      </w:pPr>
      <w:r>
        <w:rPr>
          <w:rFonts w:hint="eastAsia" w:ascii="Times New Roman" w:hAnsi="Times New Roman" w:eastAsia="黑体"/>
          <w:kern w:val="0"/>
          <w:szCs w:val="20"/>
        </w:rPr>
        <w:t>（资料性</w:t>
      </w:r>
      <w:r>
        <w:rPr>
          <w:rFonts w:hint="eastAsia" w:ascii="Times New Roman" w:hAnsi="Times New Roman" w:eastAsia="黑体"/>
          <w:kern w:val="0"/>
          <w:szCs w:val="20"/>
          <w:lang w:val="en-US" w:eastAsia="zh-CN"/>
        </w:rPr>
        <w:t>附录</w:t>
      </w:r>
      <w:r>
        <w:rPr>
          <w:rFonts w:hint="eastAsia" w:ascii="Times New Roman" w:hAnsi="Times New Roman" w:eastAsia="黑体"/>
          <w:kern w:val="0"/>
          <w:szCs w:val="20"/>
        </w:rPr>
        <w:t>）</w:t>
      </w:r>
    </w:p>
    <w:p w14:paraId="4A646BD0">
      <w:pPr>
        <w:pStyle w:val="14"/>
        <w:jc w:val="center"/>
        <w:rPr>
          <w:rFonts w:ascii="Times New Roman" w:hAnsi="Times New Roman" w:eastAsia="黑体"/>
          <w:kern w:val="0"/>
          <w:szCs w:val="20"/>
        </w:rPr>
      </w:pPr>
      <w:r>
        <w:rPr>
          <w:rFonts w:hint="eastAsia" w:ascii="Times New Roman" w:hAnsi="Times New Roman" w:eastAsia="黑体"/>
          <w:kern w:val="0"/>
          <w:szCs w:val="20"/>
        </w:rPr>
        <w:t>调水用品（化学类）水产靶动物耐受性评价试验指南</w:t>
      </w:r>
    </w:p>
    <w:p w14:paraId="40343158">
      <w:pPr>
        <w:snapToGrid w:val="0"/>
        <w:spacing w:before="313" w:beforeLines="100" w:after="313" w:afterLines="100" w:line="276" w:lineRule="auto"/>
        <w:ind w:firstLine="460" w:firstLineChars="200"/>
        <w:jc w:val="left"/>
        <w:rPr>
          <w:rFonts w:hint="eastAsia" w:ascii="黑体" w:hAnsi="黑体" w:eastAsia="黑体" w:cs="黑体"/>
          <w:sz w:val="23"/>
          <w:szCs w:val="23"/>
        </w:rPr>
      </w:pPr>
      <w:r>
        <w:rPr>
          <w:rFonts w:hint="eastAsia" w:ascii="黑体" w:hAnsi="黑体" w:eastAsia="黑体" w:cs="黑体"/>
          <w:sz w:val="23"/>
          <w:szCs w:val="23"/>
        </w:rPr>
        <w:t>1  适用性</w:t>
      </w:r>
    </w:p>
    <w:p w14:paraId="77803C67">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sz w:val="21"/>
          <w:szCs w:val="21"/>
        </w:rPr>
        <w:t>1.1</w:t>
      </w:r>
      <w:r>
        <w:rPr>
          <w:rFonts w:hint="eastAsia" w:ascii="黑体" w:hAnsi="黑体" w:eastAsia="黑体" w:cs="黑体"/>
          <w:sz w:val="21"/>
          <w:szCs w:val="21"/>
          <w:lang w:val="en-US" w:eastAsia="zh-CN"/>
        </w:rPr>
        <w:t xml:space="preserve"> </w:t>
      </w:r>
      <w:r>
        <w:rPr>
          <w:rFonts w:ascii="Times New Roman" w:hAnsi="Times New Roman"/>
        </w:rPr>
        <w:t>本指南规定了</w:t>
      </w:r>
      <w:r>
        <w:rPr>
          <w:rFonts w:hint="eastAsia" w:ascii="Times New Roman" w:hAnsi="Times New Roman"/>
        </w:rPr>
        <w:t>水产用调水用品（化学类）（以下简称：调水用品（化学类））</w:t>
      </w:r>
      <w:r>
        <w:rPr>
          <w:rFonts w:ascii="Times New Roman" w:hAnsi="Times New Roman"/>
        </w:rPr>
        <w:t>水产靶动物耐受性评价试验的基本原则、试验方案、试验方法和试验报告等要求。</w:t>
      </w:r>
    </w:p>
    <w:p w14:paraId="372A1149">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sz w:val="21"/>
          <w:szCs w:val="21"/>
        </w:rPr>
        <w:t>1.2</w:t>
      </w:r>
      <w:r>
        <w:rPr>
          <w:rFonts w:hint="eastAsia" w:ascii="黑体" w:hAnsi="黑体" w:eastAsia="黑体" w:cs="黑体"/>
          <w:sz w:val="21"/>
          <w:szCs w:val="21"/>
          <w:lang w:val="en-US" w:eastAsia="zh-CN"/>
        </w:rPr>
        <w:t xml:space="preserve"> </w:t>
      </w:r>
      <w:r>
        <w:rPr>
          <w:rFonts w:ascii="Times New Roman" w:hAnsi="Times New Roman"/>
        </w:rPr>
        <w:t>本指南适用于为新</w:t>
      </w:r>
      <w:r>
        <w:rPr>
          <w:rFonts w:hint="eastAsia" w:ascii="Times New Roman" w:hAnsi="Times New Roman"/>
        </w:rPr>
        <w:t>调水用品（化学类）</w:t>
      </w:r>
      <w:r>
        <w:rPr>
          <w:rFonts w:ascii="Times New Roman" w:hAnsi="Times New Roman"/>
        </w:rPr>
        <w:t>申报以及已经批准使用的</w:t>
      </w:r>
      <w:r>
        <w:rPr>
          <w:rFonts w:hint="eastAsia" w:ascii="Times New Roman" w:hAnsi="Times New Roman"/>
        </w:rPr>
        <w:t>调水用品（化学类）</w:t>
      </w:r>
      <w:r>
        <w:rPr>
          <w:rFonts w:ascii="Times New Roman" w:hAnsi="Times New Roman"/>
        </w:rPr>
        <w:t>再评价而进行的水产靶动物耐受性评价试验。</w:t>
      </w:r>
    </w:p>
    <w:p w14:paraId="35164DC3">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sz w:val="21"/>
          <w:szCs w:val="21"/>
        </w:rPr>
        <w:t>1.3</w:t>
      </w:r>
      <w:r>
        <w:rPr>
          <w:rFonts w:hint="eastAsia" w:ascii="黑体" w:hAnsi="黑体" w:eastAsia="黑体" w:cs="黑体"/>
          <w:sz w:val="21"/>
          <w:szCs w:val="21"/>
          <w:lang w:val="en-US" w:eastAsia="zh-CN"/>
        </w:rPr>
        <w:t xml:space="preserve"> </w:t>
      </w:r>
      <w:r>
        <w:rPr>
          <w:rFonts w:hint="eastAsia" w:ascii="Times New Roman" w:hAnsi="Times New Roman"/>
        </w:rPr>
        <w:t>调水用品（化学类）</w:t>
      </w:r>
      <w:r>
        <w:rPr>
          <w:rFonts w:ascii="Times New Roman" w:hAnsi="Times New Roman"/>
        </w:rPr>
        <w:t>的靶动物耐受性评价试验可参照本指南的要求进行。</w:t>
      </w:r>
    </w:p>
    <w:p w14:paraId="0D3FF382">
      <w:pPr>
        <w:snapToGrid w:val="0"/>
        <w:spacing w:before="313" w:beforeLines="100" w:after="313" w:afterLines="100" w:line="276" w:lineRule="auto"/>
        <w:ind w:firstLine="460" w:firstLineChars="200"/>
        <w:jc w:val="left"/>
        <w:rPr>
          <w:rFonts w:hint="eastAsia" w:ascii="黑体" w:hAnsi="黑体" w:eastAsia="黑体" w:cs="黑体"/>
          <w:sz w:val="23"/>
          <w:szCs w:val="23"/>
        </w:rPr>
      </w:pPr>
      <w:r>
        <w:rPr>
          <w:rFonts w:hint="eastAsia" w:ascii="黑体" w:hAnsi="黑体" w:eastAsia="黑体" w:cs="黑体"/>
          <w:sz w:val="23"/>
          <w:szCs w:val="23"/>
        </w:rPr>
        <w:t>2 基本原则</w:t>
      </w:r>
    </w:p>
    <w:p w14:paraId="43E48BAB">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2.1</w:t>
      </w:r>
      <w:r>
        <w:rPr>
          <w:rFonts w:ascii="Times New Roman" w:hAnsi="Times New Roman"/>
        </w:rPr>
        <w:t>靶动物耐受性评价试验的目的是为</w:t>
      </w:r>
      <w:r>
        <w:rPr>
          <w:rFonts w:hint="eastAsia" w:ascii="Times New Roman" w:hAnsi="Times New Roman"/>
        </w:rPr>
        <w:t>调水用品（化学类）</w:t>
      </w:r>
      <w:r>
        <w:rPr>
          <w:rFonts w:ascii="Times New Roman" w:hAnsi="Times New Roman"/>
        </w:rPr>
        <w:t>（以下简称为</w:t>
      </w:r>
      <w:r>
        <w:rPr>
          <w:rFonts w:hint="eastAsia" w:ascii="Times New Roman" w:hAnsi="Times New Roman"/>
        </w:rPr>
        <w:t>“</w:t>
      </w:r>
      <w:r>
        <w:rPr>
          <w:rFonts w:ascii="Times New Roman" w:hAnsi="Times New Roman"/>
        </w:rPr>
        <w:t>受试物</w:t>
      </w:r>
      <w:r>
        <w:rPr>
          <w:rFonts w:hint="eastAsia" w:ascii="Times New Roman" w:hAnsi="Times New Roman"/>
        </w:rPr>
        <w:t>”</w:t>
      </w:r>
      <w:r>
        <w:rPr>
          <w:rFonts w:ascii="Times New Roman" w:hAnsi="Times New Roman"/>
        </w:rPr>
        <w:t>）对靶动物的短期毒性提供有限评价；当受试物使用剂量超出推荐用量时，也可用来确立受试物的安全范围。</w:t>
      </w:r>
    </w:p>
    <w:p w14:paraId="1AB50C36">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2.2</w:t>
      </w:r>
      <w:r>
        <w:rPr>
          <w:rFonts w:ascii="Times New Roman" w:hAnsi="Times New Roman"/>
        </w:rPr>
        <w:t>应根据中国的水产养殖业生产实际开展靶动物耐受性评价试验，以保证评价结果的客观性。</w:t>
      </w:r>
    </w:p>
    <w:p w14:paraId="1D004C66">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2.3</w:t>
      </w:r>
      <w:r>
        <w:rPr>
          <w:rFonts w:ascii="Times New Roman" w:hAnsi="Times New Roman"/>
        </w:rPr>
        <w:t>靶动物耐受性评价试验应对受试物所适用的靶动物分别进行评价，本指南4.3以及其他另有规定的特殊情况除外。</w:t>
      </w:r>
    </w:p>
    <w:p w14:paraId="1E2BA720">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2.4</w:t>
      </w:r>
      <w:r>
        <w:rPr>
          <w:rFonts w:ascii="Times New Roman" w:hAnsi="Times New Roman"/>
        </w:rPr>
        <w:t>靶动物耐受性评价试验应由具备一定专业知识和试验技能的专业人员在适宜的试验场所、使用适宜的设备设施、按照规范的操作程序进行，并且由试验机构指定的负责人负责。用于产品报批的，评价机构和人员的要求另行规定。</w:t>
      </w:r>
    </w:p>
    <w:p w14:paraId="4AFD2E40">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2.5</w:t>
      </w:r>
      <w:r>
        <w:rPr>
          <w:rFonts w:ascii="Times New Roman" w:hAnsi="Times New Roman"/>
        </w:rPr>
        <w:t>试验动物应健康并且具有相似的遗传背景；饲养环境不应对试验结果造成影响；受试物和试验饲料不得受到污染。</w:t>
      </w:r>
    </w:p>
    <w:p w14:paraId="36513470">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2.6</w:t>
      </w:r>
      <w:r>
        <w:rPr>
          <w:rFonts w:ascii="Times New Roman" w:hAnsi="Times New Roman"/>
        </w:rPr>
        <w:t>在符合靶动物耐受性评价试验相关要求的前提下，靶动物耐受性评价试验可与靶动物有效性评价试验合并进行。</w:t>
      </w:r>
    </w:p>
    <w:p w14:paraId="3B004826">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2.7</w:t>
      </w:r>
      <w:r>
        <w:rPr>
          <w:rFonts w:ascii="Times New Roman" w:hAnsi="Times New Roman"/>
        </w:rPr>
        <w:t>靶动物耐受性评价试验应充分考虑实验动物毒理学研究的结果。</w:t>
      </w:r>
    </w:p>
    <w:p w14:paraId="04138C13">
      <w:pPr>
        <w:snapToGrid w:val="0"/>
        <w:spacing w:before="313" w:beforeLines="100" w:after="313" w:afterLines="100" w:line="276" w:lineRule="auto"/>
        <w:ind w:firstLine="460" w:firstLineChars="200"/>
        <w:jc w:val="left"/>
        <w:rPr>
          <w:rFonts w:hint="eastAsia" w:ascii="黑体" w:hAnsi="黑体" w:eastAsia="黑体" w:cs="黑体"/>
          <w:sz w:val="23"/>
          <w:szCs w:val="23"/>
        </w:rPr>
      </w:pPr>
      <w:r>
        <w:rPr>
          <w:rFonts w:hint="eastAsia" w:ascii="黑体" w:hAnsi="黑体" w:eastAsia="黑体" w:cs="黑体"/>
          <w:sz w:val="23"/>
          <w:szCs w:val="23"/>
        </w:rPr>
        <w:t>3 试验方案</w:t>
      </w:r>
    </w:p>
    <w:p w14:paraId="380A6164">
      <w:pPr>
        <w:snapToGrid w:val="0"/>
        <w:spacing w:beforeLines="0" w:afterLines="0" w:line="276" w:lineRule="auto"/>
        <w:ind w:firstLine="420" w:firstLineChars="200"/>
        <w:jc w:val="left"/>
        <w:rPr>
          <w:rFonts w:ascii="Times New Roman" w:hAnsi="Times New Roman"/>
        </w:rPr>
      </w:pPr>
      <w:r>
        <w:rPr>
          <w:rFonts w:ascii="Times New Roman" w:hAnsi="Times New Roman"/>
        </w:rPr>
        <w:t>试验开始前，应根据受试物和靶动物的特点，对试验进行系统设计，形成试验方案。试验方案应包括试验目的、试验方法、仪器设备、详细的动物品种和类别、动物数量、饲养和饲喂条件、环境和水质条件等，并由试验负责人签字确认。具体要求如下：</w:t>
      </w:r>
    </w:p>
    <w:p w14:paraId="5017A6E4">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3.1</w:t>
      </w:r>
      <w:r>
        <w:rPr>
          <w:rFonts w:ascii="Times New Roman" w:hAnsi="Times New Roman"/>
        </w:rPr>
        <w:t>试验动物：品种或品系（通用名称后以斜体注明拉丁文双名）、年龄、体重、生理阶段和健康状况。必要时注明体长和性别；</w:t>
      </w:r>
    </w:p>
    <w:p w14:paraId="2FAEEBE0">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3.2</w:t>
      </w:r>
      <w:r>
        <w:rPr>
          <w:rFonts w:ascii="Times New Roman" w:hAnsi="Times New Roman"/>
        </w:rPr>
        <w:t>试验条件：明确动物来源、饲养条件、投喂方式；养殖设施的形状、规格、水体体积、光照条件、水质和水温；预饲期的条件要求；</w:t>
      </w:r>
    </w:p>
    <w:p w14:paraId="7EDA858B">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3.3</w:t>
      </w:r>
      <w:r>
        <w:rPr>
          <w:rFonts w:ascii="Times New Roman" w:hAnsi="Times New Roman"/>
        </w:rPr>
        <w:t>试验分组：试验组和对照组数量、每组重复数和每个重复的动物数、统计方法；</w:t>
      </w:r>
    </w:p>
    <w:p w14:paraId="649779C6">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3.4</w:t>
      </w:r>
      <w:r>
        <w:rPr>
          <w:rFonts w:ascii="Times New Roman" w:hAnsi="Times New Roman"/>
        </w:rPr>
        <w:t>试验</w:t>
      </w:r>
      <w:r>
        <w:rPr>
          <w:rFonts w:hint="eastAsia" w:ascii="Times New Roman" w:hAnsi="Times New Roman"/>
        </w:rPr>
        <w:t>受试物</w:t>
      </w:r>
      <w:r>
        <w:rPr>
          <w:rFonts w:ascii="Times New Roman" w:hAnsi="Times New Roman"/>
        </w:rPr>
        <w:t>：描述</w:t>
      </w:r>
      <w:r>
        <w:rPr>
          <w:rFonts w:hint="eastAsia" w:ascii="Times New Roman" w:hAnsi="Times New Roman"/>
        </w:rPr>
        <w:t>受试物</w:t>
      </w:r>
      <w:r>
        <w:rPr>
          <w:rFonts w:ascii="Times New Roman" w:hAnsi="Times New Roman"/>
        </w:rPr>
        <w:t>的加工方法、</w:t>
      </w:r>
      <w:r>
        <w:rPr>
          <w:rFonts w:hint="eastAsia" w:ascii="Times New Roman" w:hAnsi="Times New Roman"/>
        </w:rPr>
        <w:t>有效成分及其含量、受试物性状</w:t>
      </w:r>
      <w:r>
        <w:rPr>
          <w:rFonts w:ascii="Times New Roman" w:hAnsi="Times New Roman"/>
        </w:rPr>
        <w:t>；注意根据受试物特点和使用方法，同一试验应保证所有原料来源和批次一致，各试验处理组试验因子以外的其他因素（如：料型、粒度、加工工艺等）应一致；</w:t>
      </w:r>
    </w:p>
    <w:p w14:paraId="49DCD071">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3.5</w:t>
      </w:r>
      <w:r>
        <w:rPr>
          <w:rFonts w:ascii="Times New Roman" w:hAnsi="Times New Roman"/>
        </w:rPr>
        <w:t>受试物的测定：受试物的通用名称及有效成分、生产厂家、规格、生产批号、有效成分含量的</w:t>
      </w:r>
      <w:r>
        <w:rPr>
          <w:rFonts w:hint="eastAsia" w:ascii="Times New Roman" w:hAnsi="Times New Roman"/>
        </w:rPr>
        <w:t>检测</w:t>
      </w:r>
      <w:r>
        <w:rPr>
          <w:rFonts w:ascii="Times New Roman" w:hAnsi="Times New Roman"/>
        </w:rPr>
        <w:t>方法及</w:t>
      </w:r>
      <w:r>
        <w:rPr>
          <w:rFonts w:hint="eastAsia" w:ascii="Times New Roman" w:hAnsi="Times New Roman"/>
        </w:rPr>
        <w:t>检测</w:t>
      </w:r>
      <w:r>
        <w:rPr>
          <w:rFonts w:ascii="Times New Roman" w:hAnsi="Times New Roman"/>
        </w:rPr>
        <w:t>结果、</w:t>
      </w:r>
      <w:r>
        <w:rPr>
          <w:rFonts w:hint="eastAsia" w:ascii="Times New Roman" w:hAnsi="Times New Roman"/>
        </w:rPr>
        <w:t>检测</w:t>
      </w:r>
      <w:r>
        <w:rPr>
          <w:rFonts w:ascii="Times New Roman" w:hAnsi="Times New Roman"/>
        </w:rPr>
        <w:t>机构</w:t>
      </w:r>
      <w:r>
        <w:rPr>
          <w:rFonts w:hint="eastAsia" w:ascii="Times New Roman" w:hAnsi="Times New Roman"/>
        </w:rPr>
        <w:t>的材料，在试验之前需有完整资料</w:t>
      </w:r>
      <w:r>
        <w:rPr>
          <w:rFonts w:ascii="Times New Roman" w:hAnsi="Times New Roman"/>
        </w:rPr>
        <w:t>；</w:t>
      </w:r>
    </w:p>
    <w:p w14:paraId="0088A1F8">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3.6</w:t>
      </w:r>
      <w:r>
        <w:rPr>
          <w:rFonts w:ascii="Times New Roman" w:hAnsi="Times New Roman"/>
        </w:rPr>
        <w:t>观测项目和时间：检测和观察项目名称、实施和持续的确切时间；</w:t>
      </w:r>
    </w:p>
    <w:p w14:paraId="3B500F5A">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3.7</w:t>
      </w:r>
      <w:r>
        <w:rPr>
          <w:rFonts w:ascii="Times New Roman" w:hAnsi="Times New Roman"/>
        </w:rPr>
        <w:t>疾病治疗和预防措施：不应干扰受试物的作用并逐一记录；</w:t>
      </w:r>
    </w:p>
    <w:p w14:paraId="34BB3616">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3.8</w:t>
      </w:r>
      <w:r>
        <w:rPr>
          <w:rFonts w:ascii="Times New Roman" w:hAnsi="Times New Roman"/>
        </w:rPr>
        <w:t>突发事件处理：动物个体和各试验组发生的所有非预期的突发事件，都应记录其发生的时间和范围。</w:t>
      </w:r>
    </w:p>
    <w:p w14:paraId="542BC5D2">
      <w:pPr>
        <w:snapToGrid w:val="0"/>
        <w:spacing w:before="313" w:beforeLines="100" w:after="313" w:afterLines="100" w:line="276" w:lineRule="auto"/>
        <w:ind w:firstLine="460" w:firstLineChars="200"/>
        <w:jc w:val="left"/>
        <w:rPr>
          <w:rFonts w:hint="eastAsia" w:ascii="黑体" w:hAnsi="黑体" w:eastAsia="黑体" w:cs="黑体"/>
          <w:sz w:val="23"/>
          <w:szCs w:val="23"/>
        </w:rPr>
      </w:pPr>
      <w:r>
        <w:rPr>
          <w:rFonts w:hint="eastAsia" w:ascii="黑体" w:hAnsi="黑体" w:eastAsia="黑体" w:cs="黑体"/>
          <w:sz w:val="23"/>
          <w:szCs w:val="23"/>
        </w:rPr>
        <w:t>4 试验方法</w:t>
      </w:r>
    </w:p>
    <w:p w14:paraId="63169D38">
      <w:pPr>
        <w:snapToGrid w:val="0"/>
        <w:spacing w:before="157" w:beforeLines="50" w:after="157" w:afterLines="50" w:line="276" w:lineRule="auto"/>
        <w:ind w:firstLine="460" w:firstLineChars="200"/>
        <w:jc w:val="left"/>
        <w:rPr>
          <w:rFonts w:hint="eastAsia" w:ascii="黑体" w:hAnsi="黑体" w:eastAsia="黑体" w:cs="黑体"/>
          <w:sz w:val="23"/>
          <w:szCs w:val="23"/>
        </w:rPr>
      </w:pPr>
      <w:r>
        <w:rPr>
          <w:rFonts w:hint="eastAsia" w:ascii="黑体" w:hAnsi="黑体" w:eastAsia="黑体" w:cs="黑体"/>
          <w:sz w:val="23"/>
          <w:szCs w:val="23"/>
        </w:rPr>
        <w:t>4.1受试物</w:t>
      </w:r>
    </w:p>
    <w:p w14:paraId="5DA70780">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4.1.1</w:t>
      </w:r>
      <w:r>
        <w:rPr>
          <w:rFonts w:ascii="Times New Roman" w:hAnsi="Times New Roman"/>
        </w:rPr>
        <w:t>对于申请产品</w:t>
      </w:r>
      <w:r>
        <w:rPr>
          <w:rFonts w:hint="eastAsia" w:ascii="Times New Roman" w:hAnsi="Times New Roman"/>
        </w:rPr>
        <w:t>备案</w:t>
      </w:r>
      <w:r>
        <w:rPr>
          <w:rFonts w:ascii="Times New Roman" w:hAnsi="Times New Roman"/>
        </w:rPr>
        <w:t>的受试物，应与拟上市（或拟进口）的产品完全一致。产品应由申报单位自行研制并在中试车间生产或生产线生产，同时提供产品质量标准和使用说明。</w:t>
      </w:r>
    </w:p>
    <w:p w14:paraId="782B8835">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4.1.2</w:t>
      </w:r>
      <w:r>
        <w:rPr>
          <w:rFonts w:ascii="Times New Roman" w:hAnsi="Times New Roman"/>
        </w:rPr>
        <w:t>试验机构应将受试物样品送</w:t>
      </w:r>
      <w:r>
        <w:rPr>
          <w:rFonts w:hint="eastAsia" w:ascii="Times New Roman" w:hAnsi="Times New Roman"/>
        </w:rPr>
        <w:t>具备CMA资质的</w:t>
      </w:r>
      <w:r>
        <w:rPr>
          <w:rFonts w:ascii="Times New Roman" w:hAnsi="Times New Roman"/>
        </w:rPr>
        <w:t>的质检机构对其有效成分的含量进行实际测定。</w:t>
      </w:r>
    </w:p>
    <w:p w14:paraId="41143712">
      <w:pPr>
        <w:snapToGrid w:val="0"/>
        <w:spacing w:before="157" w:beforeLines="50" w:after="157" w:afterLines="50" w:line="276" w:lineRule="auto"/>
        <w:ind w:firstLine="460" w:firstLineChars="200"/>
        <w:jc w:val="left"/>
        <w:rPr>
          <w:rFonts w:hint="eastAsia" w:ascii="黑体" w:hAnsi="黑体" w:eastAsia="黑体" w:cs="黑体"/>
          <w:sz w:val="23"/>
          <w:szCs w:val="23"/>
        </w:rPr>
      </w:pPr>
      <w:r>
        <w:rPr>
          <w:rFonts w:hint="eastAsia" w:ascii="黑体" w:hAnsi="黑体" w:eastAsia="黑体" w:cs="黑体"/>
          <w:sz w:val="23"/>
          <w:szCs w:val="23"/>
        </w:rPr>
        <w:t>4.2剂量与分组</w:t>
      </w:r>
    </w:p>
    <w:p w14:paraId="4A9BF853">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4.2.1</w:t>
      </w:r>
      <w:r>
        <w:rPr>
          <w:rFonts w:ascii="Times New Roman" w:hAnsi="Times New Roman"/>
        </w:rPr>
        <w:t>试验分组：靶动物耐受性评价试验至少要包括三个组，即对照组、有效剂量组、多倍剂量组。</w:t>
      </w:r>
    </w:p>
    <w:p w14:paraId="69756ACF">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4.2.2</w:t>
      </w:r>
      <w:r>
        <w:rPr>
          <w:rFonts w:ascii="Times New Roman" w:hAnsi="Times New Roman"/>
        </w:rPr>
        <w:t>试验剂量</w:t>
      </w:r>
    </w:p>
    <w:p w14:paraId="49536C9D">
      <w:pPr>
        <w:snapToGrid w:val="0"/>
        <w:spacing w:beforeLines="0" w:afterLines="0" w:line="276" w:lineRule="auto"/>
        <w:ind w:firstLine="420" w:firstLineChars="200"/>
        <w:jc w:val="left"/>
        <w:rPr>
          <w:rFonts w:ascii="Times New Roman" w:hAnsi="Times New Roman"/>
        </w:rPr>
      </w:pPr>
      <w:r>
        <w:rPr>
          <w:rFonts w:ascii="Times New Roman" w:hAnsi="Times New Roman"/>
        </w:rPr>
        <w:t>对照组通常不应含有受试物，但是，对于某些动物机体的必需营养素（如氨基酸、维生素、微量元素等），可以添加，但添加量应维持在最低必需水平。</w:t>
      </w:r>
    </w:p>
    <w:p w14:paraId="7D534A9D">
      <w:pPr>
        <w:snapToGrid w:val="0"/>
        <w:spacing w:beforeLines="0" w:afterLines="0" w:line="276" w:lineRule="auto"/>
        <w:ind w:firstLine="420" w:firstLineChars="200"/>
        <w:jc w:val="left"/>
        <w:rPr>
          <w:rFonts w:ascii="Times New Roman" w:hAnsi="Times New Roman"/>
        </w:rPr>
      </w:pPr>
      <w:r>
        <w:rPr>
          <w:rFonts w:ascii="Times New Roman" w:hAnsi="Times New Roman"/>
        </w:rPr>
        <w:t>一般情况下，有效剂量组应该选用最高限量。如果没有最高限量，应选用最高推荐剂量。如果没有最高推荐量，应根据受试物的自身特性，选择最低推荐剂量的2倍作为有效剂量。</w:t>
      </w:r>
    </w:p>
    <w:p w14:paraId="18B0429E">
      <w:pPr>
        <w:snapToGrid w:val="0"/>
        <w:spacing w:beforeLines="0" w:afterLines="0" w:line="276" w:lineRule="auto"/>
        <w:ind w:firstLine="420" w:firstLineChars="200"/>
        <w:jc w:val="left"/>
        <w:rPr>
          <w:rFonts w:ascii="Times New Roman" w:hAnsi="Times New Roman"/>
        </w:rPr>
      </w:pPr>
      <w:r>
        <w:rPr>
          <w:rFonts w:ascii="Times New Roman" w:hAnsi="Times New Roman"/>
        </w:rPr>
        <w:t>多倍剂量组一般选用上述有效剂量的10倍。</w:t>
      </w:r>
    </w:p>
    <w:p w14:paraId="17B3821E">
      <w:pPr>
        <w:snapToGrid w:val="0"/>
        <w:spacing w:beforeLines="0" w:afterLines="0" w:line="276" w:lineRule="auto"/>
        <w:ind w:firstLine="420" w:firstLineChars="200"/>
        <w:jc w:val="left"/>
        <w:rPr>
          <w:rFonts w:ascii="Times New Roman" w:hAnsi="Times New Roman"/>
        </w:rPr>
      </w:pPr>
      <w:r>
        <w:rPr>
          <w:rFonts w:ascii="Times New Roman" w:hAnsi="Times New Roman"/>
        </w:rPr>
        <w:t>如果受试物的耐受剂量低于有效剂量的10倍，耐受性评价试验应能通过尸检、组织病理学以及其他适宜的试验方法提出反映受试物毒性的特异性指标，并计算出受试物的安全系数。</w:t>
      </w:r>
    </w:p>
    <w:p w14:paraId="781F5765">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4.2.3</w:t>
      </w:r>
      <w:r>
        <w:rPr>
          <w:rFonts w:ascii="Times New Roman" w:hAnsi="Times New Roman"/>
        </w:rPr>
        <w:t>试验重复数：各试验组和对照组的试验重复数（或动物数）必须满足附录A的要求。</w:t>
      </w:r>
    </w:p>
    <w:p w14:paraId="63CA35A0">
      <w:pPr>
        <w:snapToGrid w:val="0"/>
        <w:spacing w:before="157" w:beforeLines="50" w:after="157" w:afterLines="50" w:line="276" w:lineRule="auto"/>
        <w:ind w:firstLine="460" w:firstLineChars="200"/>
        <w:jc w:val="left"/>
        <w:rPr>
          <w:rFonts w:hint="eastAsia" w:ascii="黑体" w:hAnsi="黑体" w:eastAsia="黑体" w:cs="黑体"/>
          <w:sz w:val="23"/>
          <w:szCs w:val="23"/>
        </w:rPr>
      </w:pPr>
      <w:r>
        <w:rPr>
          <w:rFonts w:hint="eastAsia" w:ascii="黑体" w:hAnsi="黑体" w:eastAsia="黑体" w:cs="黑体"/>
          <w:sz w:val="23"/>
          <w:szCs w:val="23"/>
        </w:rPr>
        <w:t>4.3试验期</w:t>
      </w:r>
    </w:p>
    <w:p w14:paraId="3D3CEF19">
      <w:pPr>
        <w:snapToGrid w:val="0"/>
        <w:spacing w:line="276" w:lineRule="auto"/>
        <w:ind w:firstLine="420" w:firstLineChars="200"/>
        <w:jc w:val="left"/>
        <w:rPr>
          <w:rFonts w:ascii="Times New Roman" w:hAnsi="Times New Roman"/>
        </w:rPr>
      </w:pPr>
      <w:r>
        <w:rPr>
          <w:rFonts w:ascii="Times New Roman" w:hAnsi="Times New Roman"/>
        </w:rPr>
        <w:t>靶动物耐受性评价试验需要的最短试验期取决于适用动物的种类和生长阶段，具体要求见附录A。</w:t>
      </w:r>
    </w:p>
    <w:p w14:paraId="2DFB1F9B">
      <w:pPr>
        <w:snapToGrid w:val="0"/>
        <w:spacing w:before="157" w:beforeLines="50" w:after="157" w:afterLines="50" w:line="276" w:lineRule="auto"/>
        <w:ind w:firstLine="460" w:firstLineChars="200"/>
        <w:jc w:val="left"/>
        <w:rPr>
          <w:rFonts w:hint="eastAsia" w:ascii="黑体" w:hAnsi="黑体" w:eastAsia="黑体" w:cs="黑体"/>
          <w:sz w:val="23"/>
          <w:szCs w:val="23"/>
        </w:rPr>
      </w:pPr>
      <w:r>
        <w:rPr>
          <w:rFonts w:hint="eastAsia" w:ascii="黑体" w:hAnsi="黑体" w:eastAsia="黑体" w:cs="黑体"/>
          <w:sz w:val="23"/>
          <w:szCs w:val="23"/>
        </w:rPr>
        <w:t>4.4观察与检测</w:t>
      </w:r>
    </w:p>
    <w:p w14:paraId="15DCBBCA">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4.4.1</w:t>
      </w:r>
      <w:r>
        <w:rPr>
          <w:rFonts w:ascii="Times New Roman" w:hAnsi="Times New Roman"/>
        </w:rPr>
        <w:t>临床观察</w:t>
      </w:r>
    </w:p>
    <w:p w14:paraId="20BA9B6B">
      <w:pPr>
        <w:snapToGrid w:val="0"/>
        <w:spacing w:beforeLines="0" w:afterLines="0" w:line="276" w:lineRule="auto"/>
        <w:ind w:firstLine="420" w:firstLineChars="200"/>
        <w:jc w:val="left"/>
        <w:rPr>
          <w:rFonts w:ascii="Times New Roman" w:hAnsi="Times New Roman"/>
        </w:rPr>
      </w:pPr>
      <w:r>
        <w:rPr>
          <w:rFonts w:ascii="Times New Roman" w:hAnsi="Times New Roman"/>
        </w:rPr>
        <w:t>试验期内应每天观察并记录试验动物临床表现、摄食情况、生长情况以及相关动物产品的产量和特性，也应详细观察和记录正常和不良反应。对试验中出现的不明原因的死亡应进行尸检，如果可能，最好进行组织病理学检查。</w:t>
      </w:r>
    </w:p>
    <w:p w14:paraId="25A11696">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4.4.2</w:t>
      </w:r>
      <w:r>
        <w:rPr>
          <w:rFonts w:ascii="Times New Roman" w:hAnsi="Times New Roman"/>
        </w:rPr>
        <w:t>血液学检测</w:t>
      </w:r>
    </w:p>
    <w:p w14:paraId="456B9695">
      <w:pPr>
        <w:snapToGrid w:val="0"/>
        <w:spacing w:beforeLines="0" w:afterLines="0" w:line="276" w:lineRule="auto"/>
        <w:ind w:firstLine="420" w:firstLineChars="200"/>
        <w:jc w:val="left"/>
        <w:rPr>
          <w:rFonts w:ascii="Times New Roman" w:hAnsi="Times New Roman"/>
        </w:rPr>
      </w:pPr>
      <w:r>
        <w:rPr>
          <w:rFonts w:ascii="Times New Roman" w:hAnsi="Times New Roman"/>
        </w:rPr>
        <w:t>试验开始和试验结束（必要时增加试验中期），各组试验动物空腹24小时后进行取样。每组随机抽检一定数量的动物，性别比例适当（适用时），分别采集血样进行血液常规生化指标及其他与受试物相关的各种生理参数的检测。每个处理的采血时间在2个小时内完成，并准确记录采血时间。</w:t>
      </w:r>
    </w:p>
    <w:p w14:paraId="5C84BFDF">
      <w:pPr>
        <w:snapToGrid w:val="0"/>
        <w:spacing w:beforeLines="0" w:afterLines="0" w:line="276" w:lineRule="auto"/>
        <w:ind w:firstLine="420" w:firstLineChars="200"/>
        <w:jc w:val="left"/>
        <w:rPr>
          <w:rFonts w:ascii="Times New Roman" w:hAnsi="Times New Roman"/>
        </w:rPr>
      </w:pPr>
      <w:r>
        <w:rPr>
          <w:rFonts w:ascii="Times New Roman" w:hAnsi="Times New Roman"/>
        </w:rPr>
        <w:t>血液常规生化指标主要指谷氨酸氨基转移酶（ALT）、天门冬氨酸基转移酶（AST）、碱性磷酸酶（ALP）、总蛋白（TPRO）、白蛋白（ALB）、尿素氮（UN）、肌酐（CRE）、血糖（GLU）、总胆红素（TBILI）等指标，以及相应的免疫和抗氧化指标。</w:t>
      </w:r>
    </w:p>
    <w:p w14:paraId="7A2D0A33">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4.4.3</w:t>
      </w:r>
      <w:r>
        <w:rPr>
          <w:rFonts w:ascii="Times New Roman" w:hAnsi="Times New Roman"/>
        </w:rPr>
        <w:t>组织病理学检查</w:t>
      </w:r>
    </w:p>
    <w:p w14:paraId="3F36CF89">
      <w:pPr>
        <w:snapToGrid w:val="0"/>
        <w:spacing w:beforeLines="0" w:afterLines="0" w:line="276" w:lineRule="auto"/>
        <w:ind w:firstLine="420" w:firstLineChars="200"/>
        <w:jc w:val="left"/>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w:t>
      </w:r>
      <w:r>
        <w:rPr>
          <w:rFonts w:ascii="Times New Roman" w:hAnsi="Times New Roman"/>
        </w:rPr>
        <w:t>尸体解剖学检查：试验结束时，各组屠宰一定数量的试验动物</w:t>
      </w:r>
      <w:r>
        <w:rPr>
          <w:rFonts w:hint="eastAsia" w:ascii="Times New Roman" w:hAnsi="Times New Roman"/>
        </w:rPr>
        <w:t>（</w:t>
      </w:r>
      <w:r>
        <w:rPr>
          <w:rFonts w:ascii="Times New Roman" w:hAnsi="Times New Roman"/>
        </w:rPr>
        <w:t>如有必要，则性别比例适当</w:t>
      </w:r>
      <w:r>
        <w:rPr>
          <w:rFonts w:hint="eastAsia" w:ascii="Times New Roman" w:hAnsi="Times New Roman"/>
        </w:rPr>
        <w:t>）</w:t>
      </w:r>
      <w:r>
        <w:rPr>
          <w:rFonts w:ascii="Times New Roman" w:hAnsi="Times New Roman"/>
        </w:rPr>
        <w:t>，进行系统尸体解剖学检查，为进一步的组织学检查提供依据。</w:t>
      </w:r>
    </w:p>
    <w:p w14:paraId="17C07B98">
      <w:pPr>
        <w:snapToGrid w:val="0"/>
        <w:spacing w:beforeLines="0" w:afterLines="0" w:line="276" w:lineRule="auto"/>
        <w:ind w:firstLine="420" w:firstLineChars="200"/>
        <w:jc w:val="left"/>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ascii="Times New Roman" w:hAnsi="Times New Roman"/>
        </w:rPr>
        <w:t>脏器系数测定：试验结束时，各组随机屠宰一定数量动物</w:t>
      </w:r>
      <w:r>
        <w:rPr>
          <w:rFonts w:hint="eastAsia" w:ascii="Times New Roman" w:hAnsi="Times New Roman"/>
        </w:rPr>
        <w:t>（</w:t>
      </w:r>
      <w:r>
        <w:rPr>
          <w:rFonts w:ascii="Times New Roman" w:hAnsi="Times New Roman"/>
        </w:rPr>
        <w:t>如有必要，性别比例适当</w:t>
      </w:r>
      <w:r>
        <w:rPr>
          <w:rFonts w:hint="eastAsia" w:ascii="Times New Roman" w:hAnsi="Times New Roman"/>
        </w:rPr>
        <w:t>）</w:t>
      </w:r>
      <w:r>
        <w:rPr>
          <w:rFonts w:ascii="Times New Roman" w:hAnsi="Times New Roman"/>
        </w:rPr>
        <w:t>，剖检取内脏团、肝（胰）脏、脾等脏器称重，并计算各器官与体重的比值。</w:t>
      </w:r>
    </w:p>
    <w:p w14:paraId="01E53D6B">
      <w:pPr>
        <w:snapToGrid w:val="0"/>
        <w:spacing w:beforeLines="0" w:afterLines="0" w:line="276" w:lineRule="auto"/>
        <w:ind w:firstLine="420" w:firstLineChars="200"/>
        <w:jc w:val="left"/>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3</w:t>
      </w:r>
      <w:r>
        <w:rPr>
          <w:rFonts w:hint="eastAsia" w:ascii="Times New Roman" w:hAnsi="Times New Roman"/>
          <w:lang w:eastAsia="zh-CN"/>
        </w:rPr>
        <w:t>）</w:t>
      </w:r>
      <w:r>
        <w:rPr>
          <w:rFonts w:ascii="Times New Roman" w:hAnsi="Times New Roman"/>
        </w:rPr>
        <w:t>组织病理学检查：试验结束时，对多倍剂量组及尸检异常动物的主要器官进行系统的组织病理学检查，必须详细检查的器官和组织包括：肝（胰）脏和肠道组织，同时根据受试物的特点，对其主要代谢靶器官进行组织病理学检查。</w:t>
      </w:r>
    </w:p>
    <w:p w14:paraId="3BBE16D3">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4.4.4</w:t>
      </w:r>
      <w:r>
        <w:rPr>
          <w:rFonts w:ascii="Times New Roman" w:hAnsi="Times New Roman"/>
        </w:rPr>
        <w:t>其他特异性观测指标</w:t>
      </w:r>
    </w:p>
    <w:p w14:paraId="469D6B31">
      <w:pPr>
        <w:snapToGrid w:val="0"/>
        <w:spacing w:beforeLines="0" w:afterLines="0" w:line="276" w:lineRule="auto"/>
        <w:ind w:firstLine="420" w:firstLineChars="200"/>
        <w:jc w:val="left"/>
        <w:rPr>
          <w:rFonts w:ascii="Times New Roman" w:hAnsi="Times New Roman"/>
        </w:rPr>
      </w:pPr>
      <w:r>
        <w:rPr>
          <w:rFonts w:ascii="Times New Roman" w:hAnsi="Times New Roman"/>
        </w:rPr>
        <w:t>根据受试物的作用特点和用途，增加相应的特异性观测指标和敏感性功能指标。</w:t>
      </w:r>
    </w:p>
    <w:p w14:paraId="6BA08B41">
      <w:pPr>
        <w:snapToGrid w:val="0"/>
        <w:spacing w:before="157" w:beforeLines="50" w:after="157" w:afterLines="50" w:line="276" w:lineRule="auto"/>
        <w:ind w:firstLine="460" w:firstLineChars="200"/>
        <w:jc w:val="left"/>
        <w:rPr>
          <w:rFonts w:hint="eastAsia" w:ascii="黑体" w:hAnsi="黑体" w:eastAsia="黑体" w:cs="黑体"/>
          <w:sz w:val="23"/>
          <w:szCs w:val="23"/>
        </w:rPr>
      </w:pPr>
      <w:r>
        <w:rPr>
          <w:rFonts w:hint="eastAsia" w:ascii="黑体" w:hAnsi="黑体" w:eastAsia="黑体" w:cs="黑体"/>
          <w:sz w:val="23"/>
          <w:szCs w:val="23"/>
        </w:rPr>
        <w:t>4.5数据记录</w:t>
      </w:r>
    </w:p>
    <w:p w14:paraId="66F4D8BD">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4.5.1</w:t>
      </w:r>
      <w:r>
        <w:rPr>
          <w:rFonts w:ascii="Times New Roman" w:hAnsi="Times New Roman"/>
        </w:rPr>
        <w:t>在试验实施过程中，试验方案所涉及的内容均应逐一记录。数据记录应真实、准确、完整、规范、清晰，并妥善保管。</w:t>
      </w:r>
    </w:p>
    <w:p w14:paraId="02B84C38">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4.5.2</w:t>
      </w:r>
      <w:r>
        <w:rPr>
          <w:rFonts w:ascii="Times New Roman" w:hAnsi="Times New Roman"/>
        </w:rPr>
        <w:t>数据的有效位数以所用仪器的精度为准，采用国家法定计量单位和国家推荐使用的单位。</w:t>
      </w:r>
    </w:p>
    <w:p w14:paraId="74B4B848">
      <w:pPr>
        <w:snapToGrid w:val="0"/>
        <w:spacing w:before="157" w:beforeLines="50" w:after="157" w:afterLines="50" w:line="276" w:lineRule="auto"/>
        <w:ind w:firstLine="460" w:firstLineChars="200"/>
        <w:jc w:val="left"/>
        <w:rPr>
          <w:rFonts w:hint="eastAsia" w:ascii="黑体" w:hAnsi="黑体" w:eastAsia="黑体" w:cs="黑体"/>
          <w:sz w:val="23"/>
          <w:szCs w:val="23"/>
        </w:rPr>
      </w:pPr>
      <w:r>
        <w:rPr>
          <w:rFonts w:hint="eastAsia" w:ascii="黑体" w:hAnsi="黑体" w:eastAsia="黑体" w:cs="黑体"/>
          <w:sz w:val="23"/>
          <w:szCs w:val="23"/>
        </w:rPr>
        <w:t>4.6统计分析</w:t>
      </w:r>
    </w:p>
    <w:p w14:paraId="6D67D7E6">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4.6.1</w:t>
      </w:r>
      <w:r>
        <w:rPr>
          <w:rFonts w:ascii="Times New Roman" w:hAnsi="Times New Roman"/>
        </w:rPr>
        <w:t>以重复为单位，根据不同的试验设计采用相应的统计分析方法进行数据分析。</w:t>
      </w:r>
    </w:p>
    <w:p w14:paraId="2AB47423">
      <w:pPr>
        <w:snapToGrid w:val="0"/>
        <w:spacing w:before="0" w:beforeLines="0" w:after="0" w:afterLines="0" w:line="276" w:lineRule="auto"/>
        <w:ind w:firstLine="420" w:firstLineChars="200"/>
        <w:jc w:val="left"/>
        <w:rPr>
          <w:rFonts w:ascii="Times New Roman" w:hAnsi="Times New Roman"/>
        </w:rPr>
      </w:pPr>
      <w:r>
        <w:rPr>
          <w:rFonts w:hint="eastAsia" w:ascii="黑体" w:hAnsi="黑体" w:eastAsia="黑体" w:cs="黑体"/>
        </w:rPr>
        <w:t>4.6.2</w:t>
      </w:r>
      <w:r>
        <w:rPr>
          <w:rFonts w:ascii="Times New Roman" w:hAnsi="Times New Roman"/>
        </w:rPr>
        <w:t>统计显著性差异水平至少应达到</w:t>
      </w:r>
      <w:r>
        <w:rPr>
          <w:rFonts w:ascii="Times New Roman" w:hAnsi="Times New Roman"/>
          <w:i/>
          <w:iCs/>
        </w:rPr>
        <w:t>P</w:t>
      </w:r>
      <w:r>
        <w:rPr>
          <w:rFonts w:hint="eastAsia" w:ascii="Times New Roman" w:hAnsi="Times New Roman"/>
          <w:i/>
          <w:iCs/>
        </w:rPr>
        <w:t xml:space="preserve"> </w:t>
      </w:r>
      <w:r>
        <w:rPr>
          <w:rFonts w:ascii="Times New Roman" w:hAnsi="Times New Roman"/>
        </w:rPr>
        <w:t>&lt;</w:t>
      </w:r>
      <w:r>
        <w:rPr>
          <w:rFonts w:hint="eastAsia" w:ascii="Times New Roman" w:hAnsi="Times New Roman"/>
        </w:rPr>
        <w:t xml:space="preserve"> </w:t>
      </w:r>
      <w:r>
        <w:rPr>
          <w:rFonts w:ascii="Times New Roman" w:hAnsi="Times New Roman"/>
        </w:rPr>
        <w:t>0.05。</w:t>
      </w:r>
    </w:p>
    <w:p w14:paraId="5F1914B8">
      <w:pPr>
        <w:spacing w:line="276" w:lineRule="auto"/>
      </w:pPr>
      <w:r>
        <w:br w:type="page"/>
      </w:r>
    </w:p>
    <w:p w14:paraId="2A0CA0F6">
      <w:pPr>
        <w:pStyle w:val="204"/>
        <w:rPr>
          <w:rFonts w:hint="eastAsia"/>
          <w:vanish w:val="0"/>
        </w:rPr>
      </w:pPr>
      <w:bookmarkStart w:id="44" w:name="BookMark5"/>
    </w:p>
    <w:bookmarkEnd w:id="44"/>
    <w:p w14:paraId="05BDC4F4">
      <w:pPr>
        <w:pStyle w:val="69"/>
        <w:spacing w:after="120"/>
      </w:pPr>
      <w:r>
        <w:rPr>
          <w:rFonts w:hint="eastAsia"/>
        </w:rPr>
        <w:t>参考文献</w:t>
      </w:r>
    </w:p>
    <w:p w14:paraId="32C71D40">
      <w:pPr>
        <w:pStyle w:val="62"/>
        <w:spacing w:line="276" w:lineRule="auto"/>
        <w:ind w:firstLine="420"/>
        <w:rPr>
          <w:rFonts w:ascii="Times New Roman"/>
        </w:rPr>
      </w:pPr>
      <w:r>
        <w:rPr>
          <w:rFonts w:ascii="Times New Roman"/>
        </w:rPr>
        <w:t>[1] 农业部161号公告—2001 肥料登记资料要求</w:t>
      </w:r>
    </w:p>
    <w:p w14:paraId="74A80C4D">
      <w:pPr>
        <w:pStyle w:val="62"/>
        <w:spacing w:line="276" w:lineRule="auto"/>
        <w:ind w:firstLine="420"/>
        <w:rPr>
          <w:rFonts w:ascii="Times New Roman"/>
        </w:rPr>
      </w:pPr>
      <w:r>
        <w:rPr>
          <w:rFonts w:ascii="Times New Roman"/>
        </w:rPr>
        <w:t xml:space="preserve">[2] 农业部1773号公告—2012 </w:t>
      </w:r>
      <w:bookmarkStart w:id="45" w:name="_Hlk178020523"/>
      <w:r>
        <w:rPr>
          <w:rFonts w:ascii="Times New Roman"/>
        </w:rPr>
        <w:t>饲料原料目录</w:t>
      </w:r>
      <w:bookmarkEnd w:id="45"/>
    </w:p>
    <w:p w14:paraId="726BA61A">
      <w:pPr>
        <w:pStyle w:val="62"/>
        <w:spacing w:line="276" w:lineRule="auto"/>
        <w:ind w:firstLine="420"/>
        <w:rPr>
          <w:rFonts w:ascii="Times New Roman"/>
        </w:rPr>
      </w:pPr>
      <w:r>
        <w:rPr>
          <w:rFonts w:ascii="Times New Roman"/>
        </w:rPr>
        <w:t>[3] 农业部2038号公告—2017 饲料原料目录</w:t>
      </w:r>
    </w:p>
    <w:p w14:paraId="6D2FB8D7">
      <w:pPr>
        <w:pStyle w:val="62"/>
        <w:spacing w:line="276" w:lineRule="auto"/>
        <w:ind w:firstLine="420"/>
        <w:rPr>
          <w:rFonts w:ascii="Times New Roman"/>
        </w:rPr>
      </w:pPr>
      <w:r>
        <w:rPr>
          <w:rFonts w:ascii="Times New Roman"/>
        </w:rPr>
        <w:t>[4] 农业部2045号公告—2013 饲料添加剂目录</w:t>
      </w:r>
    </w:p>
    <w:p w14:paraId="1A275C57">
      <w:pPr>
        <w:pStyle w:val="62"/>
        <w:spacing w:line="276" w:lineRule="auto"/>
        <w:ind w:firstLine="420"/>
        <w:rPr>
          <w:rFonts w:ascii="Times New Roman"/>
        </w:rPr>
      </w:pPr>
      <w:r>
        <w:rPr>
          <w:rFonts w:ascii="Times New Roman"/>
        </w:rPr>
        <w:t>[5] 农业部2133号公告—2014 饲料原料目录</w:t>
      </w:r>
    </w:p>
    <w:p w14:paraId="544D85EC">
      <w:pPr>
        <w:pStyle w:val="62"/>
        <w:spacing w:line="276" w:lineRule="auto"/>
        <w:ind w:firstLine="420"/>
        <w:rPr>
          <w:rFonts w:ascii="Times New Roman"/>
        </w:rPr>
      </w:pPr>
      <w:r>
        <w:rPr>
          <w:rFonts w:ascii="Times New Roman"/>
        </w:rPr>
        <w:t>[6] 农业部2134号公告—2014 饲料添加剂目录</w:t>
      </w:r>
    </w:p>
    <w:p w14:paraId="644BBDA3">
      <w:pPr>
        <w:pStyle w:val="62"/>
        <w:spacing w:line="276" w:lineRule="auto"/>
        <w:ind w:firstLine="420"/>
        <w:rPr>
          <w:rFonts w:ascii="Times New Roman"/>
        </w:rPr>
      </w:pPr>
      <w:r>
        <w:rPr>
          <w:rFonts w:ascii="Times New Roman"/>
        </w:rPr>
        <w:t>[7] 农业部2249号公告—2015 饲料原料目录</w:t>
      </w:r>
    </w:p>
    <w:p w14:paraId="260E73D4">
      <w:pPr>
        <w:pStyle w:val="62"/>
        <w:spacing w:line="276" w:lineRule="auto"/>
        <w:ind w:firstLine="420"/>
        <w:rPr>
          <w:rFonts w:ascii="Times New Roman"/>
        </w:rPr>
      </w:pPr>
      <w:r>
        <w:rPr>
          <w:rFonts w:ascii="Times New Roman"/>
        </w:rPr>
        <w:t>[8] 农业部2634号公告—2017 饲料原料目录</w:t>
      </w:r>
    </w:p>
    <w:p w14:paraId="4F73B44C">
      <w:pPr>
        <w:pStyle w:val="62"/>
        <w:spacing w:line="276" w:lineRule="auto"/>
        <w:ind w:firstLine="420"/>
        <w:rPr>
          <w:rFonts w:ascii="Times New Roman"/>
        </w:rPr>
      </w:pPr>
      <w:r>
        <w:rPr>
          <w:rFonts w:ascii="Times New Roman"/>
        </w:rPr>
        <w:t>[9] 农业农村部21号公告—2018 饲料添加剂目录</w:t>
      </w:r>
    </w:p>
    <w:p w14:paraId="01A154E9">
      <w:pPr>
        <w:pStyle w:val="62"/>
        <w:spacing w:line="276" w:lineRule="auto"/>
        <w:ind w:firstLine="420"/>
        <w:rPr>
          <w:rFonts w:ascii="Times New Roman"/>
        </w:rPr>
      </w:pPr>
      <w:r>
        <w:rPr>
          <w:rFonts w:ascii="Times New Roman"/>
        </w:rPr>
        <w:t>[10] 农业农村部22号公告—2018 饲料原料目录</w:t>
      </w:r>
    </w:p>
    <w:p w14:paraId="7F006EB9">
      <w:pPr>
        <w:pStyle w:val="62"/>
        <w:spacing w:line="276" w:lineRule="auto"/>
        <w:ind w:firstLine="420"/>
        <w:rPr>
          <w:rFonts w:ascii="Times New Roman"/>
        </w:rPr>
      </w:pPr>
      <w:r>
        <w:rPr>
          <w:rFonts w:ascii="Times New Roman"/>
        </w:rPr>
        <w:t>[11] 农业农村部53号公告—2018 饲料添加剂目录</w:t>
      </w:r>
    </w:p>
    <w:p w14:paraId="0E213343">
      <w:pPr>
        <w:pStyle w:val="62"/>
        <w:spacing w:line="276" w:lineRule="auto"/>
        <w:ind w:firstLine="420"/>
        <w:rPr>
          <w:rFonts w:ascii="Times New Roman"/>
        </w:rPr>
      </w:pPr>
      <w:r>
        <w:rPr>
          <w:rFonts w:ascii="Times New Roman"/>
        </w:rPr>
        <w:t>[12] 农业农村部356号公告—2020 饲料原料目录</w:t>
      </w:r>
    </w:p>
    <w:p w14:paraId="745A5F03">
      <w:pPr>
        <w:pStyle w:val="62"/>
        <w:spacing w:line="276" w:lineRule="auto"/>
        <w:ind w:firstLine="420"/>
        <w:rPr>
          <w:rFonts w:ascii="Times New Roman"/>
        </w:rPr>
      </w:pPr>
      <w:r>
        <w:rPr>
          <w:rFonts w:ascii="Times New Roman"/>
        </w:rPr>
        <w:t>[13] 农业农村部356号公告—2020 饲料添加剂目录</w:t>
      </w:r>
    </w:p>
    <w:p w14:paraId="31FFBF6C">
      <w:pPr>
        <w:pStyle w:val="62"/>
        <w:spacing w:line="276" w:lineRule="auto"/>
        <w:ind w:firstLine="420"/>
        <w:rPr>
          <w:rFonts w:ascii="Times New Roman"/>
        </w:rPr>
      </w:pPr>
      <w:r>
        <w:rPr>
          <w:rFonts w:ascii="Times New Roman"/>
        </w:rPr>
        <w:t>[14] 农业农村部1231号公告—2009 饲料添加剂目录</w:t>
      </w:r>
    </w:p>
    <w:p w14:paraId="1565B880">
      <w:pPr>
        <w:pStyle w:val="62"/>
        <w:spacing w:line="276" w:lineRule="auto"/>
        <w:ind w:firstLine="420"/>
        <w:rPr>
          <w:rFonts w:ascii="Times New Roman"/>
        </w:rPr>
      </w:pPr>
      <w:r>
        <w:rPr>
          <w:rFonts w:ascii="Times New Roman"/>
        </w:rPr>
        <w:t>[15] 农业部2011 饲料和饲料添加剂畜禽靶动物耐受性评价试验指南（试行）</w:t>
      </w:r>
    </w:p>
    <w:p w14:paraId="42A8C122">
      <w:pPr>
        <w:pStyle w:val="62"/>
        <w:ind w:firstLine="0" w:firstLineChars="0"/>
        <w:jc w:val="left"/>
      </w:pPr>
    </w:p>
    <w:p w14:paraId="602A6235">
      <w:pPr>
        <w:pStyle w:val="62"/>
        <w:ind w:firstLine="0" w:firstLineChars="0"/>
        <w:jc w:val="center"/>
      </w:pPr>
      <w:r>
        <w:rPr>
          <w:rFonts w:hint="eastAsia"/>
        </w:rPr>
        <w:drawing>
          <wp:inline distT="0" distB="0" distL="0" distR="0">
            <wp:extent cx="1485900" cy="317500"/>
            <wp:effectExtent l="0" t="0" r="0" b="6350"/>
            <wp:docPr id="716432074" name="图片 3"/>
            <wp:cNvGraphicFramePr/>
            <a:graphic xmlns:a="http://schemas.openxmlformats.org/drawingml/2006/main">
              <a:graphicData uri="http://schemas.openxmlformats.org/drawingml/2006/picture">
                <pic:pic xmlns:pic="http://schemas.openxmlformats.org/drawingml/2006/picture">
                  <pic:nvPicPr>
                    <pic:cNvPr id="716432074"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footerReference r:id="rId14" w:type="default"/>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89DC">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9094A">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048FD">
    <w:pPr>
      <w:pStyle w:val="58"/>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B4A5">
    <w:pPr>
      <w:spacing w:line="173" w:lineRule="auto"/>
      <w:ind w:left="280"/>
      <w:rPr>
        <w:rFonts w:ascii="Times New Roman" w:hAnsi="Times New Roman" w:eastAsia="Times New Roman"/>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BE067">
                          <w:pPr>
                            <w:pStyle w:val="19"/>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D9BE067">
                    <w:pPr>
                      <w:pStyle w:val="19"/>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C5CC7">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25CB5">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4A25CB5">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A1344">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A42D">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557C6">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D249">
    <w:pPr>
      <w:pStyle w:val="67"/>
      <w:rPr>
        <w:rFonts w:hint="eastAsia"/>
      </w:rPr>
    </w:pPr>
    <w:r>
      <w:fldChar w:fldCharType="begin"/>
    </w:r>
    <w:r>
      <w:instrText xml:space="preserve"> STYLEREF  标准文件_文件编号  \* MERGEFORMAT </w:instrText>
    </w:r>
    <w:r>
      <w:fldChar w:fldCharType="separate"/>
    </w:r>
    <w:r>
      <w:t>T/SCSF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BF5A8">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0"/>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567"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42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567"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NmFlOTcyMDgxMjM2NTA5ZjlmNmRjYWMyYThjOTIifQ=="/>
  </w:docVars>
  <w:rsids>
    <w:rsidRoot w:val="00CB256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D7D"/>
    <w:rsid w:val="000249DB"/>
    <w:rsid w:val="0002595E"/>
    <w:rsid w:val="000303C3"/>
    <w:rsid w:val="000331D3"/>
    <w:rsid w:val="000343A8"/>
    <w:rsid w:val="000346A5"/>
    <w:rsid w:val="000359C3"/>
    <w:rsid w:val="00035A7D"/>
    <w:rsid w:val="000365ED"/>
    <w:rsid w:val="000416AC"/>
    <w:rsid w:val="0004249A"/>
    <w:rsid w:val="00043282"/>
    <w:rsid w:val="00044286"/>
    <w:rsid w:val="000462F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610"/>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2C8"/>
    <w:rsid w:val="000A7311"/>
    <w:rsid w:val="000B060F"/>
    <w:rsid w:val="000B0F59"/>
    <w:rsid w:val="000B1592"/>
    <w:rsid w:val="000B1FF2"/>
    <w:rsid w:val="000B3CDA"/>
    <w:rsid w:val="000B6A0B"/>
    <w:rsid w:val="000C0F6C"/>
    <w:rsid w:val="000C11DB"/>
    <w:rsid w:val="000C1492"/>
    <w:rsid w:val="000C2FBD"/>
    <w:rsid w:val="000C4B41"/>
    <w:rsid w:val="000C57D6"/>
    <w:rsid w:val="000C6362"/>
    <w:rsid w:val="000C7666"/>
    <w:rsid w:val="000D0A9C"/>
    <w:rsid w:val="000D13B1"/>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41"/>
    <w:rsid w:val="001446C2"/>
    <w:rsid w:val="001457E7"/>
    <w:rsid w:val="00145D9D"/>
    <w:rsid w:val="00146388"/>
    <w:rsid w:val="001529E5"/>
    <w:rsid w:val="00152FB3"/>
    <w:rsid w:val="00153C7E"/>
    <w:rsid w:val="00156B25"/>
    <w:rsid w:val="00156E1A"/>
    <w:rsid w:val="00157894"/>
    <w:rsid w:val="00157B55"/>
    <w:rsid w:val="001642FA"/>
    <w:rsid w:val="0016455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554"/>
    <w:rsid w:val="0019348F"/>
    <w:rsid w:val="00193A07"/>
    <w:rsid w:val="00194C95"/>
    <w:rsid w:val="00195C34"/>
    <w:rsid w:val="00196EF5"/>
    <w:rsid w:val="001A1A53"/>
    <w:rsid w:val="001A234A"/>
    <w:rsid w:val="001A4CF3"/>
    <w:rsid w:val="001A6696"/>
    <w:rsid w:val="001B06E8"/>
    <w:rsid w:val="001B71D0"/>
    <w:rsid w:val="001B71EE"/>
    <w:rsid w:val="001C04A8"/>
    <w:rsid w:val="001C0C41"/>
    <w:rsid w:val="001C2C03"/>
    <w:rsid w:val="001C320D"/>
    <w:rsid w:val="001C42F7"/>
    <w:rsid w:val="001C49E5"/>
    <w:rsid w:val="001C680C"/>
    <w:rsid w:val="001C7FEA"/>
    <w:rsid w:val="001D0499"/>
    <w:rsid w:val="001D0BBE"/>
    <w:rsid w:val="001D0ED4"/>
    <w:rsid w:val="001D212F"/>
    <w:rsid w:val="001D29D7"/>
    <w:rsid w:val="001D2DE7"/>
    <w:rsid w:val="001D411C"/>
    <w:rsid w:val="001E0FFD"/>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3E0"/>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CAB"/>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07E"/>
    <w:rsid w:val="00344605"/>
    <w:rsid w:val="003474AA"/>
    <w:rsid w:val="00350D1D"/>
    <w:rsid w:val="00352C83"/>
    <w:rsid w:val="00352F1A"/>
    <w:rsid w:val="0035674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D61"/>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1FA"/>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83A"/>
    <w:rsid w:val="00441AE7"/>
    <w:rsid w:val="00445574"/>
    <w:rsid w:val="004467FB"/>
    <w:rsid w:val="00452D6B"/>
    <w:rsid w:val="00454484"/>
    <w:rsid w:val="0045517B"/>
    <w:rsid w:val="00461595"/>
    <w:rsid w:val="00463B77"/>
    <w:rsid w:val="00463C7B"/>
    <w:rsid w:val="004644A6"/>
    <w:rsid w:val="004659BD"/>
    <w:rsid w:val="00470775"/>
    <w:rsid w:val="004746B1"/>
    <w:rsid w:val="0047583F"/>
    <w:rsid w:val="00475DE8"/>
    <w:rsid w:val="00477DAA"/>
    <w:rsid w:val="00481C44"/>
    <w:rsid w:val="00483507"/>
    <w:rsid w:val="00484936"/>
    <w:rsid w:val="00485BD5"/>
    <w:rsid w:val="00485C89"/>
    <w:rsid w:val="00486BE3"/>
    <w:rsid w:val="004905E4"/>
    <w:rsid w:val="00490A89"/>
    <w:rsid w:val="00490AB4"/>
    <w:rsid w:val="00492F02"/>
    <w:rsid w:val="004939AE"/>
    <w:rsid w:val="004A12DF"/>
    <w:rsid w:val="004A1BA8"/>
    <w:rsid w:val="004A4B57"/>
    <w:rsid w:val="004A63FA"/>
    <w:rsid w:val="004A6A3D"/>
    <w:rsid w:val="004A7C83"/>
    <w:rsid w:val="004B0272"/>
    <w:rsid w:val="004B1F1A"/>
    <w:rsid w:val="004B2701"/>
    <w:rsid w:val="004B2E1B"/>
    <w:rsid w:val="004B3AA8"/>
    <w:rsid w:val="004B3E93"/>
    <w:rsid w:val="004C1FBC"/>
    <w:rsid w:val="004C25A2"/>
    <w:rsid w:val="004C3F1D"/>
    <w:rsid w:val="004C458D"/>
    <w:rsid w:val="004C4EAB"/>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F4F"/>
    <w:rsid w:val="00523F95"/>
    <w:rsid w:val="00524D65"/>
    <w:rsid w:val="00525B16"/>
    <w:rsid w:val="00530E34"/>
    <w:rsid w:val="00533D04"/>
    <w:rsid w:val="00534804"/>
    <w:rsid w:val="00534BDF"/>
    <w:rsid w:val="00534EF9"/>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4E92"/>
    <w:rsid w:val="00596160"/>
    <w:rsid w:val="005966E2"/>
    <w:rsid w:val="00597007"/>
    <w:rsid w:val="005A0364"/>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C14"/>
    <w:rsid w:val="005E6812"/>
    <w:rsid w:val="005E7881"/>
    <w:rsid w:val="005E78E0"/>
    <w:rsid w:val="005F0D9C"/>
    <w:rsid w:val="005F284E"/>
    <w:rsid w:val="005F7D9E"/>
    <w:rsid w:val="006015CE"/>
    <w:rsid w:val="00604784"/>
    <w:rsid w:val="00606419"/>
    <w:rsid w:val="00607D29"/>
    <w:rsid w:val="00612952"/>
    <w:rsid w:val="0061452E"/>
    <w:rsid w:val="00614CC1"/>
    <w:rsid w:val="00615A9D"/>
    <w:rsid w:val="00617387"/>
    <w:rsid w:val="006205D6"/>
    <w:rsid w:val="006208B7"/>
    <w:rsid w:val="006252D8"/>
    <w:rsid w:val="006259BC"/>
    <w:rsid w:val="0062636B"/>
    <w:rsid w:val="00632182"/>
    <w:rsid w:val="00632AE0"/>
    <w:rsid w:val="00633C17"/>
    <w:rsid w:val="00634D9E"/>
    <w:rsid w:val="00636E3E"/>
    <w:rsid w:val="006379F7"/>
    <w:rsid w:val="00637E4D"/>
    <w:rsid w:val="00640620"/>
    <w:rsid w:val="00641A1F"/>
    <w:rsid w:val="0064256E"/>
    <w:rsid w:val="00645904"/>
    <w:rsid w:val="00651ACB"/>
    <w:rsid w:val="00651C47"/>
    <w:rsid w:val="00652AB2"/>
    <w:rsid w:val="00653FED"/>
    <w:rsid w:val="006548EE"/>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63BD"/>
    <w:rsid w:val="006A07AA"/>
    <w:rsid w:val="006A25E5"/>
    <w:rsid w:val="006A2B46"/>
    <w:rsid w:val="006A336D"/>
    <w:rsid w:val="006A37B9"/>
    <w:rsid w:val="006A5090"/>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0A31"/>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1F89"/>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2B22"/>
    <w:rsid w:val="007B42E7"/>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FCB"/>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64EC"/>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E5A"/>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541F"/>
    <w:rsid w:val="009378DD"/>
    <w:rsid w:val="00941D45"/>
    <w:rsid w:val="009429D5"/>
    <w:rsid w:val="00942BF1"/>
    <w:rsid w:val="00945180"/>
    <w:rsid w:val="00945428"/>
    <w:rsid w:val="0094607B"/>
    <w:rsid w:val="00953604"/>
    <w:rsid w:val="0095496B"/>
    <w:rsid w:val="00960F1E"/>
    <w:rsid w:val="009610DC"/>
    <w:rsid w:val="00961490"/>
    <w:rsid w:val="0096381A"/>
    <w:rsid w:val="00965E04"/>
    <w:rsid w:val="0096724E"/>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3780"/>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798"/>
    <w:rsid w:val="00A14C8E"/>
    <w:rsid w:val="00A153D9"/>
    <w:rsid w:val="00A15F09"/>
    <w:rsid w:val="00A169B6"/>
    <w:rsid w:val="00A16EB6"/>
    <w:rsid w:val="00A2271D"/>
    <w:rsid w:val="00A237D5"/>
    <w:rsid w:val="00A27BB4"/>
    <w:rsid w:val="00A30EFC"/>
    <w:rsid w:val="00A31984"/>
    <w:rsid w:val="00A32D73"/>
    <w:rsid w:val="00A3367B"/>
    <w:rsid w:val="00A33C67"/>
    <w:rsid w:val="00A3597D"/>
    <w:rsid w:val="00A36DD1"/>
    <w:rsid w:val="00A4006C"/>
    <w:rsid w:val="00A40091"/>
    <w:rsid w:val="00A4030F"/>
    <w:rsid w:val="00A40433"/>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3ED"/>
    <w:rsid w:val="00A76FF7"/>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568"/>
    <w:rsid w:val="00AB6309"/>
    <w:rsid w:val="00AB6C5F"/>
    <w:rsid w:val="00AB7129"/>
    <w:rsid w:val="00AC27A6"/>
    <w:rsid w:val="00AC30F7"/>
    <w:rsid w:val="00AC3A5A"/>
    <w:rsid w:val="00AC4D95"/>
    <w:rsid w:val="00AC5DF4"/>
    <w:rsid w:val="00AD0AEF"/>
    <w:rsid w:val="00AD11B7"/>
    <w:rsid w:val="00AD1A94"/>
    <w:rsid w:val="00AD1C05"/>
    <w:rsid w:val="00AD3E03"/>
    <w:rsid w:val="00AD4126"/>
    <w:rsid w:val="00AD421C"/>
    <w:rsid w:val="00AD44FA"/>
    <w:rsid w:val="00AE070A"/>
    <w:rsid w:val="00AE101C"/>
    <w:rsid w:val="00AE2A69"/>
    <w:rsid w:val="00AE37E5"/>
    <w:rsid w:val="00AE5EB4"/>
    <w:rsid w:val="00AF0C18"/>
    <w:rsid w:val="00AF47C5"/>
    <w:rsid w:val="00AF5398"/>
    <w:rsid w:val="00B043B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721"/>
    <w:rsid w:val="00B378E5"/>
    <w:rsid w:val="00B4346D"/>
    <w:rsid w:val="00B440F4"/>
    <w:rsid w:val="00B447A5"/>
    <w:rsid w:val="00B4654C"/>
    <w:rsid w:val="00B47293"/>
    <w:rsid w:val="00B50E50"/>
    <w:rsid w:val="00B52120"/>
    <w:rsid w:val="00B52D35"/>
    <w:rsid w:val="00B54ABC"/>
    <w:rsid w:val="00B56FBE"/>
    <w:rsid w:val="00B60ACF"/>
    <w:rsid w:val="00B614EF"/>
    <w:rsid w:val="00B62B58"/>
    <w:rsid w:val="00B65149"/>
    <w:rsid w:val="00B65173"/>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1AB"/>
    <w:rsid w:val="00BD52D7"/>
    <w:rsid w:val="00BD5AD2"/>
    <w:rsid w:val="00BE0EF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EF1"/>
    <w:rsid w:val="00C80CB8"/>
    <w:rsid w:val="00C819F8"/>
    <w:rsid w:val="00C8248C"/>
    <w:rsid w:val="00C84E33"/>
    <w:rsid w:val="00C86D6F"/>
    <w:rsid w:val="00C9058A"/>
    <w:rsid w:val="00C905FC"/>
    <w:rsid w:val="00C92D03"/>
    <w:rsid w:val="00C9319C"/>
    <w:rsid w:val="00C9435D"/>
    <w:rsid w:val="00C94DF2"/>
    <w:rsid w:val="00C95AD5"/>
    <w:rsid w:val="00C96741"/>
    <w:rsid w:val="00CA2D1B"/>
    <w:rsid w:val="00CA375D"/>
    <w:rsid w:val="00CA50DE"/>
    <w:rsid w:val="00CA662A"/>
    <w:rsid w:val="00CA7AFD"/>
    <w:rsid w:val="00CA7C3C"/>
    <w:rsid w:val="00CB0189"/>
    <w:rsid w:val="00CB0BA2"/>
    <w:rsid w:val="00CB1A42"/>
    <w:rsid w:val="00CB1B0C"/>
    <w:rsid w:val="00CB2566"/>
    <w:rsid w:val="00CB2C0B"/>
    <w:rsid w:val="00CB517D"/>
    <w:rsid w:val="00CC038D"/>
    <w:rsid w:val="00CC08DB"/>
    <w:rsid w:val="00CC39FF"/>
    <w:rsid w:val="00CC3C2F"/>
    <w:rsid w:val="00CC4AC8"/>
    <w:rsid w:val="00CC5233"/>
    <w:rsid w:val="00CC5DE6"/>
    <w:rsid w:val="00CC6E4E"/>
    <w:rsid w:val="00CC6FE8"/>
    <w:rsid w:val="00CC7202"/>
    <w:rsid w:val="00CD1ED5"/>
    <w:rsid w:val="00CD2808"/>
    <w:rsid w:val="00CD28BF"/>
    <w:rsid w:val="00CD4092"/>
    <w:rsid w:val="00CD4A20"/>
    <w:rsid w:val="00CD50A1"/>
    <w:rsid w:val="00CD519E"/>
    <w:rsid w:val="00CE0C4F"/>
    <w:rsid w:val="00CE30EA"/>
    <w:rsid w:val="00CF048A"/>
    <w:rsid w:val="00CF155A"/>
    <w:rsid w:val="00CF1560"/>
    <w:rsid w:val="00CF2947"/>
    <w:rsid w:val="00CF686F"/>
    <w:rsid w:val="00CF6E60"/>
    <w:rsid w:val="00CF7BCA"/>
    <w:rsid w:val="00D00841"/>
    <w:rsid w:val="00D008FD"/>
    <w:rsid w:val="00D01F26"/>
    <w:rsid w:val="00D020B4"/>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5C1"/>
    <w:rsid w:val="00D352A2"/>
    <w:rsid w:val="00D4162B"/>
    <w:rsid w:val="00D4514F"/>
    <w:rsid w:val="00D451E2"/>
    <w:rsid w:val="00D45E89"/>
    <w:rsid w:val="00D45E8D"/>
    <w:rsid w:val="00D466AE"/>
    <w:rsid w:val="00D4734F"/>
    <w:rsid w:val="00D51BF3"/>
    <w:rsid w:val="00D52C4B"/>
    <w:rsid w:val="00D63FCE"/>
    <w:rsid w:val="00D66846"/>
    <w:rsid w:val="00D675FB"/>
    <w:rsid w:val="00D71F25"/>
    <w:rsid w:val="00D72312"/>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4A28"/>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5BB"/>
    <w:rsid w:val="00E822E8"/>
    <w:rsid w:val="00E82554"/>
    <w:rsid w:val="00E82606"/>
    <w:rsid w:val="00E82E42"/>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B7B3E"/>
    <w:rsid w:val="00EC117D"/>
    <w:rsid w:val="00EC5359"/>
    <w:rsid w:val="00EC562A"/>
    <w:rsid w:val="00ED067A"/>
    <w:rsid w:val="00ED2B50"/>
    <w:rsid w:val="00EE0350"/>
    <w:rsid w:val="00EE0719"/>
    <w:rsid w:val="00EE0E80"/>
    <w:rsid w:val="00EE613F"/>
    <w:rsid w:val="00EE7295"/>
    <w:rsid w:val="00EE7869"/>
    <w:rsid w:val="00EE796D"/>
    <w:rsid w:val="00EF054A"/>
    <w:rsid w:val="00EF3235"/>
    <w:rsid w:val="00EF7E72"/>
    <w:rsid w:val="00F06D37"/>
    <w:rsid w:val="00F07B9D"/>
    <w:rsid w:val="00F11586"/>
    <w:rsid w:val="00F1183B"/>
    <w:rsid w:val="00F11C9F"/>
    <w:rsid w:val="00F12263"/>
    <w:rsid w:val="00F13657"/>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247"/>
    <w:rsid w:val="00FE3901"/>
    <w:rsid w:val="00FE39D3"/>
    <w:rsid w:val="00FE4BCE"/>
    <w:rsid w:val="00FE54AE"/>
    <w:rsid w:val="00FE576A"/>
    <w:rsid w:val="00FE7E79"/>
    <w:rsid w:val="00FF3E7D"/>
    <w:rsid w:val="00FF5B99"/>
    <w:rsid w:val="00FF5D53"/>
    <w:rsid w:val="00FF5FE7"/>
    <w:rsid w:val="00FF730C"/>
    <w:rsid w:val="00FF73F4"/>
    <w:rsid w:val="00FF7CE4"/>
    <w:rsid w:val="00FF7E39"/>
    <w:rsid w:val="01AE5944"/>
    <w:rsid w:val="028408D5"/>
    <w:rsid w:val="032A1043"/>
    <w:rsid w:val="03C336AE"/>
    <w:rsid w:val="05127C90"/>
    <w:rsid w:val="05C50C80"/>
    <w:rsid w:val="07EA2C20"/>
    <w:rsid w:val="08602EE2"/>
    <w:rsid w:val="09B905E7"/>
    <w:rsid w:val="0AD876A7"/>
    <w:rsid w:val="0B1E59EE"/>
    <w:rsid w:val="0C49044A"/>
    <w:rsid w:val="0FE465D5"/>
    <w:rsid w:val="12136263"/>
    <w:rsid w:val="15EE2139"/>
    <w:rsid w:val="160457F4"/>
    <w:rsid w:val="187E2041"/>
    <w:rsid w:val="1A70446A"/>
    <w:rsid w:val="1BF12377"/>
    <w:rsid w:val="1D6D27AB"/>
    <w:rsid w:val="20434E23"/>
    <w:rsid w:val="208B33A9"/>
    <w:rsid w:val="20B90B59"/>
    <w:rsid w:val="20F6701D"/>
    <w:rsid w:val="218850C1"/>
    <w:rsid w:val="22CC10AB"/>
    <w:rsid w:val="266210F7"/>
    <w:rsid w:val="28043C6A"/>
    <w:rsid w:val="28E60D8A"/>
    <w:rsid w:val="2DB63420"/>
    <w:rsid w:val="321333B3"/>
    <w:rsid w:val="353572E4"/>
    <w:rsid w:val="377216E1"/>
    <w:rsid w:val="384A40FD"/>
    <w:rsid w:val="39A8746B"/>
    <w:rsid w:val="3D5278D3"/>
    <w:rsid w:val="3F544847"/>
    <w:rsid w:val="3FB67787"/>
    <w:rsid w:val="415E7BFF"/>
    <w:rsid w:val="49AE449B"/>
    <w:rsid w:val="49C10D2B"/>
    <w:rsid w:val="4CDD30CB"/>
    <w:rsid w:val="51AE1474"/>
    <w:rsid w:val="5223678D"/>
    <w:rsid w:val="52381CC4"/>
    <w:rsid w:val="54DF48B9"/>
    <w:rsid w:val="561A5A4B"/>
    <w:rsid w:val="56384123"/>
    <w:rsid w:val="56F67869"/>
    <w:rsid w:val="57365827"/>
    <w:rsid w:val="57796694"/>
    <w:rsid w:val="57FB5111"/>
    <w:rsid w:val="59E00D5A"/>
    <w:rsid w:val="59F760A3"/>
    <w:rsid w:val="5AD429F6"/>
    <w:rsid w:val="5C8F6A67"/>
    <w:rsid w:val="60795261"/>
    <w:rsid w:val="623B56C7"/>
    <w:rsid w:val="62B61E66"/>
    <w:rsid w:val="63102241"/>
    <w:rsid w:val="6324615B"/>
    <w:rsid w:val="66E83943"/>
    <w:rsid w:val="675D701C"/>
    <w:rsid w:val="69564B94"/>
    <w:rsid w:val="6B2C6877"/>
    <w:rsid w:val="6BD050D2"/>
    <w:rsid w:val="6C4F6DA0"/>
    <w:rsid w:val="6D04494B"/>
    <w:rsid w:val="6EA82E32"/>
    <w:rsid w:val="70CB2853"/>
    <w:rsid w:val="717F6C52"/>
    <w:rsid w:val="73AD347B"/>
    <w:rsid w:val="74106BF1"/>
    <w:rsid w:val="74235FBB"/>
    <w:rsid w:val="75920D7B"/>
    <w:rsid w:val="75B07D22"/>
    <w:rsid w:val="76712649"/>
    <w:rsid w:val="772313AA"/>
    <w:rsid w:val="787E0521"/>
    <w:rsid w:val="78D23F5A"/>
    <w:rsid w:val="78FA3D25"/>
    <w:rsid w:val="7A762D32"/>
    <w:rsid w:val="7E464D80"/>
    <w:rsid w:val="D9CD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2"/>
    <w:unhideWhenUsed/>
    <w:qFormat/>
    <w:uiPriority w:val="99"/>
    <w:pPr>
      <w:jc w:val="left"/>
    </w:pPr>
  </w:style>
  <w:style w:type="paragraph" w:styleId="14">
    <w:name w:val="Body Text"/>
    <w:basedOn w:val="1"/>
    <w:link w:val="92"/>
    <w:qFormat/>
    <w:uiPriority w:val="0"/>
    <w:pPr>
      <w:spacing w:after="120"/>
    </w:pPr>
  </w:style>
  <w:style w:type="paragraph" w:styleId="15">
    <w:name w:val="Body Text Indent"/>
    <w:basedOn w:val="1"/>
    <w:qFormat/>
    <w:uiPriority w:val="0"/>
    <w:pPr>
      <w:spacing w:after="120"/>
      <w:ind w:left="420" w:leftChars="20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1"/>
    <w:semiHidden/>
    <w:unhideWhenUsed/>
    <w:qFormat/>
    <w:uiPriority w:val="99"/>
    <w:rPr>
      <w:sz w:val="18"/>
      <w:szCs w:val="18"/>
    </w:rPr>
  </w:style>
  <w:style w:type="paragraph" w:styleId="19">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9"/>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index 7"/>
    <w:basedOn w:val="1"/>
    <w:next w:val="1"/>
    <w:unhideWhenUsed/>
    <w:qFormat/>
    <w:uiPriority w:val="0"/>
    <w:pPr>
      <w:ind w:left="2520"/>
    </w:pPr>
    <w:rPr>
      <w:rFonts w:ascii="等线" w:hAnsi="等线" w:eastAsia="等线"/>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itle"/>
    <w:basedOn w:val="1"/>
    <w:link w:val="54"/>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43"/>
    <w:semiHidden/>
    <w:unhideWhenUsed/>
    <w:qFormat/>
    <w:uiPriority w:val="99"/>
    <w:rPr>
      <w:b/>
      <w:bCs/>
    </w:rPr>
  </w:style>
  <w:style w:type="paragraph" w:styleId="30">
    <w:name w:val="Body Text First Indent 2"/>
    <w:basedOn w:val="15"/>
    <w:qFormat/>
    <w:uiPriority w:val="0"/>
    <w:pPr>
      <w:ind w:firstLine="420" w:firstLineChars="200"/>
    </w:pPr>
  </w:style>
  <w:style w:type="table" w:styleId="32">
    <w:name w:val="Table Grid"/>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qFormat/>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character" w:customStyle="1" w:styleId="40">
    <w:name w:val="标题 1 字符"/>
    <w:link w:val="2"/>
    <w:qFormat/>
    <w:uiPriority w:val="0"/>
    <w:rPr>
      <w:b/>
      <w:bCs/>
      <w:kern w:val="44"/>
      <w:sz w:val="44"/>
      <w:szCs w:val="44"/>
    </w:rPr>
  </w:style>
  <w:style w:type="character" w:customStyle="1" w:styleId="41">
    <w:name w:val="标题 2 字符"/>
    <w:link w:val="3"/>
    <w:qFormat/>
    <w:uiPriority w:val="0"/>
    <w:rPr>
      <w:rFonts w:ascii="Arial" w:hAnsi="Arial" w:eastAsia="黑体"/>
      <w:b/>
      <w:bCs/>
      <w:kern w:val="2"/>
      <w:sz w:val="32"/>
      <w:szCs w:val="32"/>
    </w:rPr>
  </w:style>
  <w:style w:type="character" w:customStyle="1" w:styleId="42">
    <w:name w:val="标题 3 字符"/>
    <w:link w:val="4"/>
    <w:qFormat/>
    <w:uiPriority w:val="0"/>
    <w:rPr>
      <w:b/>
      <w:bCs/>
      <w:kern w:val="2"/>
      <w:sz w:val="32"/>
      <w:szCs w:val="32"/>
    </w:rPr>
  </w:style>
  <w:style w:type="character" w:customStyle="1" w:styleId="43">
    <w:name w:val="标题 4 字符"/>
    <w:link w:val="5"/>
    <w:qFormat/>
    <w:uiPriority w:val="0"/>
    <w:rPr>
      <w:rFonts w:ascii="Arial" w:hAnsi="Arial" w:eastAsia="黑体"/>
      <w:b/>
      <w:bCs/>
      <w:kern w:val="2"/>
      <w:sz w:val="28"/>
      <w:szCs w:val="28"/>
    </w:rPr>
  </w:style>
  <w:style w:type="character" w:customStyle="1" w:styleId="44">
    <w:name w:val="标题 5 字符"/>
    <w:link w:val="6"/>
    <w:qFormat/>
    <w:uiPriority w:val="0"/>
    <w:rPr>
      <w:b/>
      <w:bCs/>
      <w:kern w:val="2"/>
      <w:sz w:val="28"/>
      <w:szCs w:val="28"/>
    </w:rPr>
  </w:style>
  <w:style w:type="character" w:customStyle="1" w:styleId="45">
    <w:name w:val="标题 6 字符"/>
    <w:link w:val="7"/>
    <w:qFormat/>
    <w:uiPriority w:val="0"/>
    <w:rPr>
      <w:rFonts w:ascii="Arial" w:hAnsi="Arial" w:eastAsia="黑体"/>
      <w:b/>
      <w:bCs/>
      <w:kern w:val="2"/>
      <w:sz w:val="24"/>
      <w:szCs w:val="24"/>
    </w:rPr>
  </w:style>
  <w:style w:type="character" w:customStyle="1" w:styleId="46">
    <w:name w:val="标题 7 字符"/>
    <w:link w:val="8"/>
    <w:qFormat/>
    <w:uiPriority w:val="0"/>
    <w:rPr>
      <w:b/>
      <w:bCs/>
      <w:kern w:val="2"/>
      <w:sz w:val="24"/>
      <w:szCs w:val="24"/>
    </w:rPr>
  </w:style>
  <w:style w:type="character" w:customStyle="1" w:styleId="47">
    <w:name w:val="标题 8 字符"/>
    <w:link w:val="9"/>
    <w:qFormat/>
    <w:uiPriority w:val="0"/>
    <w:rPr>
      <w:rFonts w:ascii="Arial" w:hAnsi="Arial" w:eastAsia="黑体"/>
      <w:kern w:val="2"/>
      <w:sz w:val="24"/>
      <w:szCs w:val="24"/>
    </w:rPr>
  </w:style>
  <w:style w:type="character" w:customStyle="1" w:styleId="48">
    <w:name w:val="标题 9 字符"/>
    <w:link w:val="10"/>
    <w:qFormat/>
    <w:uiPriority w:val="0"/>
    <w:rPr>
      <w:rFonts w:ascii="Arial" w:hAnsi="Arial" w:eastAsia="黑体"/>
      <w:kern w:val="2"/>
      <w:sz w:val="21"/>
      <w:szCs w:val="21"/>
    </w:rPr>
  </w:style>
  <w:style w:type="character" w:customStyle="1" w:styleId="49">
    <w:name w:val="页眉 字符"/>
    <w:link w:val="20"/>
    <w:qFormat/>
    <w:uiPriority w:val="99"/>
    <w:rPr>
      <w:kern w:val="2"/>
      <w:sz w:val="18"/>
      <w:szCs w:val="18"/>
    </w:rPr>
  </w:style>
  <w:style w:type="character" w:customStyle="1" w:styleId="50">
    <w:name w:val="页脚 字符"/>
    <w:link w:val="19"/>
    <w:qFormat/>
    <w:uiPriority w:val="99"/>
    <w:rPr>
      <w:rFonts w:ascii="宋体"/>
      <w:kern w:val="2"/>
      <w:sz w:val="18"/>
      <w:szCs w:val="18"/>
    </w:rPr>
  </w:style>
  <w:style w:type="character" w:customStyle="1" w:styleId="51">
    <w:name w:val="批注框文本 字符"/>
    <w:link w:val="18"/>
    <w:semiHidden/>
    <w:qFormat/>
    <w:uiPriority w:val="99"/>
    <w:rPr>
      <w:kern w:val="2"/>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kern w:val="2"/>
      <w:sz w:val="21"/>
      <w:szCs w:val="21"/>
    </w:rPr>
  </w:style>
  <w:style w:type="character" w:customStyle="1" w:styleId="54">
    <w:name w:val="标题 字符"/>
    <w:link w:val="28"/>
    <w:qFormat/>
    <w:uiPriority w:val="0"/>
    <w:rPr>
      <w:rFonts w:ascii="Arial" w:hAnsi="Arial" w:cs="Arial"/>
      <w:b/>
      <w:bCs/>
      <w:kern w:val="2"/>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ind w:left="0"/>
      <w:textAlignment w:val="baseline"/>
      <w:outlineLvl w:val="3"/>
    </w:pPr>
  </w:style>
  <w:style w:type="paragraph" w:customStyle="1" w:styleId="86">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4"/>
    <w:qFormat/>
    <w:uiPriority w:val="0"/>
    <w:rPr>
      <w:kern w:val="2"/>
      <w:sz w:val="21"/>
      <w:szCs w:val="21"/>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paragraph" w:customStyle="1" w:styleId="100">
    <w:name w:val="标准文件_三级条标题"/>
    <w:basedOn w:val="71"/>
    <w:next w:val="62"/>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3"/>
    <w:semiHidden/>
    <w:qFormat/>
    <w:uiPriority w:val="0"/>
    <w:rPr>
      <w:rFonts w:ascii="宋体"/>
      <w:kern w:val="2"/>
      <w:sz w:val="18"/>
      <w:szCs w:val="18"/>
    </w:rPr>
  </w:style>
  <w:style w:type="paragraph" w:customStyle="1" w:styleId="106">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qFormat/>
    <w:uiPriority w:val="0"/>
    <w:pPr>
      <w:numPr>
        <w:ilvl w:val="2"/>
      </w:numPr>
      <w:spacing w:before="50" w:beforeLines="50" w:after="50" w:afterLines="50"/>
      <w:ind w:left="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6">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qFormat/>
    <w:uiPriority w:val="0"/>
    <w:pPr>
      <w:outlineLvl w:val="4"/>
    </w:pPr>
  </w:style>
  <w:style w:type="paragraph" w:customStyle="1" w:styleId="136">
    <w:name w:val="附录四级无标题条"/>
    <w:basedOn w:val="135"/>
    <w:next w:val="62"/>
    <w:qFormat/>
    <w:uiPriority w:val="0"/>
    <w:pPr>
      <w:outlineLvl w:val="5"/>
    </w:pPr>
  </w:style>
  <w:style w:type="paragraph" w:customStyle="1" w:styleId="137">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2"/>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0"/>
    <w:pPr>
      <w:spacing w:before="0" w:beforeLines="0" w:after="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qFormat/>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qFormat/>
    <w:uiPriority w:val="0"/>
    <w:pPr>
      <w:numPr>
        <w:ilvl w:val="0"/>
        <w:numId w:val="25"/>
      </w:numPr>
      <w:adjustRightInd/>
      <w:spacing w:line="240" w:lineRule="auto"/>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qFormat/>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3"/>
    <w:semiHidden/>
    <w:qFormat/>
    <w:uiPriority w:val="99"/>
    <w:rPr>
      <w:color w:val="808080"/>
    </w:rPr>
  </w:style>
  <w:style w:type="paragraph" w:customStyle="1" w:styleId="193">
    <w:name w:val="标准文件_二级项2"/>
    <w:basedOn w:val="62"/>
    <w:qFormat/>
    <w:uiPriority w:val="0"/>
    <w:pPr>
      <w:numPr>
        <w:ilvl w:val="1"/>
        <w:numId w:val="21"/>
      </w:numPr>
      <w:ind w:firstLine="0" w:firstLineChars="0"/>
    </w:pPr>
  </w:style>
  <w:style w:type="paragraph" w:customStyle="1" w:styleId="194">
    <w:name w:val="标准文件_三级项2"/>
    <w:basedOn w:val="62"/>
    <w:qFormat/>
    <w:uiPriority w:val="0"/>
    <w:pPr>
      <w:numPr>
        <w:ilvl w:val="0"/>
        <w:numId w:val="30"/>
      </w:numPr>
      <w:spacing w:line="300" w:lineRule="exact"/>
      <w:ind w:firstLineChars="0"/>
    </w:pPr>
    <w:rPr>
      <w:rFonts w:ascii="Times New Roman"/>
    </w:rPr>
  </w:style>
  <w:style w:type="paragraph" w:customStyle="1" w:styleId="195">
    <w:name w:val="标准文件_一级项2"/>
    <w:basedOn w:val="62"/>
    <w:qFormat/>
    <w:uiPriority w:val="0"/>
    <w:pPr>
      <w:numPr>
        <w:ilvl w:val="0"/>
        <w:numId w:val="31"/>
      </w:numPr>
      <w:spacing w:line="300" w:lineRule="exact"/>
      <w:ind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3"/>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0"/>
    <w:pPr>
      <w:framePr w:w="3997" w:h="471" w:hRule="exact" w:hSpace="0" w:vSpace="181" w:vAnchor="page" w:hAnchor="page" w:x="1419" w:y="14097"/>
    </w:pPr>
  </w:style>
  <w:style w:type="paragraph" w:customStyle="1" w:styleId="200">
    <w:name w:val="其他实施日期"/>
    <w:basedOn w:val="160"/>
    <w:qFormat/>
    <w:uiPriority w:val="0"/>
    <w:pPr>
      <w:framePr w:w="3997" w:h="471" w:hRule="exact" w:vSpace="181" w:vAnchor="page" w:hAnchor="page" w:x="7089" w:y="14097"/>
    </w:pPr>
  </w:style>
  <w:style w:type="paragraph" w:customStyle="1" w:styleId="201">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spacing w:before="57"/>
    </w:pPr>
    <w:rPr>
      <w:sz w:val="21"/>
    </w:rPr>
  </w:style>
  <w:style w:type="paragraph" w:customStyle="1" w:styleId="203">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三级无标题"/>
    <w:basedOn w:val="208"/>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3"/>
    <w:qFormat/>
    <w:uiPriority w:val="0"/>
    <w:rPr>
      <w:rFonts w:ascii="黑体" w:eastAsia="黑体"/>
      <w:spacing w:val="85"/>
      <w:w w:val="100"/>
      <w:position w:val="3"/>
      <w:sz w:val="28"/>
      <w:szCs w:val="28"/>
    </w:rPr>
  </w:style>
  <w:style w:type="paragraph" w:customStyle="1" w:styleId="236">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character" w:customStyle="1" w:styleId="238">
    <w:name w:val="未处理的提及1"/>
    <w:basedOn w:val="33"/>
    <w:semiHidden/>
    <w:unhideWhenUsed/>
    <w:qFormat/>
    <w:uiPriority w:val="99"/>
    <w:rPr>
      <w:color w:val="605E5C"/>
      <w:shd w:val="clear" w:color="auto" w:fill="E1DFDD"/>
    </w:rPr>
  </w:style>
  <w:style w:type="paragraph" w:customStyle="1" w:styleId="2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1">
    <w:name w:val="Revision"/>
    <w:hidden/>
    <w:unhideWhenUsed/>
    <w:qFormat/>
    <w:uiPriority w:val="99"/>
    <w:rPr>
      <w:rFonts w:ascii="Calibri" w:hAnsi="Calibri" w:eastAsia="宋体" w:cs="Times New Roman"/>
      <w:kern w:val="2"/>
      <w:sz w:val="21"/>
      <w:szCs w:val="21"/>
      <w:lang w:val="en-US" w:eastAsia="zh-CN" w:bidi="ar-SA"/>
    </w:rPr>
  </w:style>
  <w:style w:type="character" w:customStyle="1" w:styleId="242">
    <w:name w:val="批注文字 字符"/>
    <w:basedOn w:val="33"/>
    <w:link w:val="13"/>
    <w:qFormat/>
    <w:uiPriority w:val="99"/>
    <w:rPr>
      <w:rFonts w:ascii="Calibri" w:hAnsi="Calibri"/>
      <w:kern w:val="2"/>
      <w:sz w:val="21"/>
      <w:szCs w:val="21"/>
    </w:rPr>
  </w:style>
  <w:style w:type="character" w:customStyle="1" w:styleId="243">
    <w:name w:val="批注主题 字符"/>
    <w:basedOn w:val="242"/>
    <w:link w:val="29"/>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nyncbuser\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3A2D58D6D849859A51C62D26ECAB3F"/>
        <w:style w:val=""/>
        <w:category>
          <w:name w:val="General"/>
          <w:gallery w:val="placeholder"/>
        </w:category>
        <w:types>
          <w:type w:val="bbPlcHdr"/>
        </w:types>
        <w:behaviors>
          <w:behavior w:val="content"/>
        </w:behaviors>
        <w:description w:val=""/>
        <w:guid w:val="{2DEB15D0-E3F6-4594-8FC1-8ED590364773}"/>
      </w:docPartPr>
      <w:docPartBody>
        <w:p w14:paraId="1B1B4FDF">
          <w:pPr>
            <w:pStyle w:val="5"/>
            <w:rPr>
              <w:rFonts w:hint="eastAsia"/>
            </w:rPr>
          </w:pPr>
          <w:r>
            <w:rPr>
              <w:rStyle w:val="4"/>
              <w:rFonts w:hint="eastAsia"/>
            </w:rPr>
            <w:t>单击或点击此处输入文字。</w:t>
          </w:r>
        </w:p>
      </w:docPartBody>
    </w:docPart>
    <w:docPart>
      <w:docPartPr>
        <w:name w:val="05658745C3E14888A81E58AC3CD14210"/>
        <w:style w:val=""/>
        <w:category>
          <w:name w:val="General"/>
          <w:gallery w:val="placeholder"/>
        </w:category>
        <w:types>
          <w:type w:val="bbPlcHdr"/>
        </w:types>
        <w:behaviors>
          <w:behavior w:val="content"/>
        </w:behaviors>
        <w:description w:val=""/>
        <w:guid w:val="{63634EC9-05D3-4B98-BC0E-E50BF8267D9A}"/>
      </w:docPartPr>
      <w:docPartBody>
        <w:p w14:paraId="22100224">
          <w:pPr>
            <w:pStyle w:val="6"/>
            <w:rPr>
              <w:rFonts w:hint="eastAsia"/>
            </w:rPr>
          </w:pPr>
          <w:r>
            <w:rPr>
              <w:rStyle w:val="4"/>
              <w:rFonts w:hint="eastAsia"/>
            </w:rPr>
            <w:t>选择一项。</w:t>
          </w:r>
        </w:p>
      </w:docPartBody>
    </w:docPart>
    <w:docPart>
      <w:docPartPr>
        <w:name w:val="11AEB22BF1624B07B8F340787C90C357"/>
        <w:style w:val=""/>
        <w:category>
          <w:name w:val="General"/>
          <w:gallery w:val="placeholder"/>
        </w:category>
        <w:types>
          <w:type w:val="bbPlcHdr"/>
        </w:types>
        <w:behaviors>
          <w:behavior w:val="content"/>
        </w:behaviors>
        <w:description w:val=""/>
        <w:guid w:val="{60A5AADF-25FB-4A9A-8242-572D7E5EB724}"/>
      </w:docPartPr>
      <w:docPartBody>
        <w:p w14:paraId="2BAF0DAB">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59"/>
    <w:rsid w:val="0004429F"/>
    <w:rsid w:val="000462FB"/>
    <w:rsid w:val="00072EB9"/>
    <w:rsid w:val="000D09D0"/>
    <w:rsid w:val="00101714"/>
    <w:rsid w:val="001552A4"/>
    <w:rsid w:val="001A59B0"/>
    <w:rsid w:val="001C0C41"/>
    <w:rsid w:val="001F1021"/>
    <w:rsid w:val="00246C49"/>
    <w:rsid w:val="00374372"/>
    <w:rsid w:val="0048323B"/>
    <w:rsid w:val="004C4EAB"/>
    <w:rsid w:val="00594E92"/>
    <w:rsid w:val="005E4C14"/>
    <w:rsid w:val="006208B7"/>
    <w:rsid w:val="00645060"/>
    <w:rsid w:val="006548EE"/>
    <w:rsid w:val="00656312"/>
    <w:rsid w:val="00803D6D"/>
    <w:rsid w:val="008564EC"/>
    <w:rsid w:val="00940FDE"/>
    <w:rsid w:val="00AD3E03"/>
    <w:rsid w:val="00B75259"/>
    <w:rsid w:val="00C9058A"/>
    <w:rsid w:val="00CD1ED5"/>
    <w:rsid w:val="00CF3CB8"/>
    <w:rsid w:val="00D020B4"/>
    <w:rsid w:val="00D51F76"/>
    <w:rsid w:val="00E070C7"/>
    <w:rsid w:val="00E14F38"/>
    <w:rsid w:val="00E80F0D"/>
    <w:rsid w:val="00EF7DC6"/>
    <w:rsid w:val="00F13657"/>
    <w:rsid w:val="00F15B11"/>
    <w:rsid w:val="00F1680F"/>
    <w:rsid w:val="00FC7011"/>
    <w:rsid w:val="00FE4E27"/>
    <w:rsid w:val="00FF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A3A2D58D6D849859A51C62D26ECAB3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05658745C3E14888A81E58AC3CD1421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1AEB22BF1624B07B8F340787C90C3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7145</Words>
  <Characters>7986</Characters>
  <Lines>289</Lines>
  <Paragraphs>365</Paragraphs>
  <TotalTime>0</TotalTime>
  <ScaleCrop>false</ScaleCrop>
  <LinksUpToDate>false</LinksUpToDate>
  <CharactersWithSpaces>8146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2024-09-18T14:05:00Z</dcterms:created>
  <dc:creator>zhi xu</dc:creator>
  <dc:description>&lt;config cover="true" show_menu="true" version="1.0.0" doctype="SDKXY"&gt;_x000d_
&lt;/config&gt;</dc:description>
  <cp:lastModifiedBy>Lei</cp:lastModifiedBy>
  <cp:lastPrinted>2021-02-02T16:22:00Z</cp:lastPrinted>
  <dcterms:modified xsi:type="dcterms:W3CDTF">2025-09-29T08:09:06Z</dcterms:modified>
  <dc:title>团体标准</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9CACB87BE0B04C69850B61D911A22990_13</vt:lpwstr>
  </property>
  <property fmtid="{D5CDD505-2E9C-101B-9397-08002B2CF9AE}" pid="16" name="KSOTemplateDocerSaveRecord">
    <vt:lpwstr>eyJoZGlkIjoiNTkwNzhkZDQ0ZjkwYWM1Y2ZlZGYwZjRkNWYzNTZmOGQiLCJ1c2VySWQiOiIyMjkyOTM2ODkifQ==</vt:lpwstr>
  </property>
</Properties>
</file>