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3E2D74">
      <w:pPr>
        <w:spacing w:before="156" w:beforeLines="50" w:after="156" w:afterLines="50" w:line="500" w:lineRule="exact"/>
        <w:jc w:val="center"/>
        <w:rPr>
          <w:rFonts w:hint="eastAsia" w:ascii="方正小标宋简体" w:hAnsi="Times New Roman" w:eastAsia="方正小标宋简体" w:cs="Times New Roman"/>
          <w:sz w:val="40"/>
          <w:szCs w:val="40"/>
          <w:lang w:eastAsia="zh-CN"/>
        </w:rPr>
      </w:pPr>
      <w:r>
        <w:rPr>
          <w:rFonts w:hint="eastAsia" w:ascii="方正小标宋简体" w:hAnsi="Times New Roman" w:eastAsia="方正小标宋简体" w:cs="Times New Roman"/>
          <w:sz w:val="40"/>
          <w:szCs w:val="40"/>
          <w:lang w:eastAsia="zh-CN"/>
        </w:rPr>
        <w:t>《</w:t>
      </w:r>
      <w:r>
        <w:rPr>
          <w:rFonts w:hint="eastAsia" w:ascii="方正小标宋简体" w:hAnsi="Times New Roman" w:eastAsia="方正小标宋简体" w:cs="Times New Roman"/>
          <w:sz w:val="40"/>
          <w:szCs w:val="40"/>
          <w:lang w:val="en-US" w:eastAsia="zh-CN"/>
        </w:rPr>
        <w:t>冻煮金枪鱼肉</w:t>
      </w:r>
      <w:r>
        <w:rPr>
          <w:rFonts w:hint="eastAsia" w:ascii="方正小标宋简体" w:hAnsi="Times New Roman" w:eastAsia="方正小标宋简体" w:cs="Times New Roman"/>
          <w:sz w:val="40"/>
          <w:szCs w:val="40"/>
          <w:lang w:eastAsia="zh-CN"/>
        </w:rPr>
        <w:t>》</w:t>
      </w:r>
    </w:p>
    <w:p w14:paraId="4686674A">
      <w:pPr>
        <w:spacing w:before="156" w:beforeLines="50" w:after="156" w:afterLines="50" w:line="500" w:lineRule="exact"/>
        <w:jc w:val="center"/>
        <w:rPr>
          <w:rFonts w:ascii="方正小标宋简体" w:hAnsi="Times New Roman" w:eastAsia="方正小标宋简体" w:cs="Times New Roman"/>
          <w:sz w:val="40"/>
          <w:szCs w:val="40"/>
        </w:rPr>
      </w:pPr>
      <w:r>
        <w:rPr>
          <w:rFonts w:hint="eastAsia" w:ascii="方正小标宋简体" w:hAnsi="Times New Roman" w:eastAsia="方正小标宋简体" w:cs="Times New Roman"/>
          <w:sz w:val="40"/>
          <w:szCs w:val="40"/>
        </w:rPr>
        <w:t>中国水产学会团体标准编制说明</w:t>
      </w:r>
    </w:p>
    <w:p w14:paraId="0A441CD3">
      <w:pPr>
        <w:spacing w:line="500" w:lineRule="exact"/>
        <w:ind w:firstLine="560" w:firstLineChars="200"/>
        <w:rPr>
          <w:rFonts w:ascii="Times New Roman" w:hAnsi="Times New Roman" w:eastAsia="宋体" w:cs="Times New Roman"/>
          <w:sz w:val="28"/>
          <w:szCs w:val="28"/>
        </w:rPr>
      </w:pPr>
    </w:p>
    <w:p w14:paraId="09828A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kern w:val="2"/>
          <w:sz w:val="28"/>
          <w:szCs w:val="28"/>
          <w:lang w:val="en-US" w:eastAsia="zh-CN" w:bidi="ar-SA"/>
        </w:rPr>
        <w:t>一、</w:t>
      </w:r>
      <w:r>
        <w:rPr>
          <w:rFonts w:hint="eastAsia" w:ascii="方正小标宋简体" w:hAnsi="方正小标宋简体" w:eastAsia="方正小标宋简体" w:cs="方正小标宋简体"/>
          <w:sz w:val="28"/>
          <w:szCs w:val="28"/>
          <w:lang w:val="en-US" w:eastAsia="zh-CN"/>
        </w:rPr>
        <w:t>工作简况</w:t>
      </w:r>
    </w:p>
    <w:p w14:paraId="57BB9B1B">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（一）</w:t>
      </w:r>
      <w:r>
        <w:rPr>
          <w:rFonts w:hint="eastAsia" w:ascii="宋体" w:hAnsi="宋体" w:eastAsia="宋体" w:cs="宋体"/>
          <w:b/>
          <w:bCs/>
          <w:sz w:val="28"/>
          <w:szCs w:val="28"/>
          <w:lang w:val="en-US" w:eastAsia="zh-CN"/>
        </w:rPr>
        <w:t>任务来源</w:t>
      </w:r>
    </w:p>
    <w:p w14:paraId="31FC72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2025年6月12日，中国水产学会下达2025年第二批团体标准项目计划的通知，《冻煮金枪鱼肉》经中国水产学会批准立项，列入2025年中国水产学会第二批团体标准项目计划（农渔学〔2025〕8号）。</w:t>
      </w:r>
    </w:p>
    <w:p w14:paraId="4E1462D9">
      <w:pPr>
        <w:keepNext w:val="0"/>
        <w:keepLines w:val="0"/>
        <w:pageBreakBefore w:val="0"/>
        <w:widowControl w:val="0"/>
        <w:numPr>
          <w:ilvl w:val="0"/>
          <w:numId w:val="2"/>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项目背景</w:t>
      </w:r>
    </w:p>
    <w:p w14:paraId="7DB129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随着全球居民生活水平提升和饮食结构优化升级，高品质速冻水产品的市场需求显著增长。冻煮金枪鱼肉凭借其口感鲜美、营养均衡、储存便捷等特点，在餐饮和食品加工领域得到广泛应用，展现出巨大的市场潜力。2024年1-9月全球金枪鱼贸易量达307万吨（价值118.6亿美元），同比增长20%。其中，生冻金枪鱼进口量激增32%至168万吨，日本、欧盟和美国为主的大型传统市场对深冷冻金枪鱼腰肉、鱼片和类似半加工/预制产品的需求和进口量增加。2024年1-9月中国进口冷冻金枪鱼用于再加工的量同比增长220%。中国已经成为全球金枪鱼产品的主要加工基地之一。</w:t>
      </w:r>
    </w:p>
    <w:p w14:paraId="698585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冻煮金枪鱼肉是以野生海捕冷冻金枪鱼为原料，通过蒸煮、冷却、去皮去骨、包装、速冻等工艺制成的，不添加食品添加剂的非即食速冻水产品。该产品既可作为家庭烹饪的直接食材，又能作为鱼肉松、鱼罐头等深加工产品的半成品原料，生产过程涉及原料筛选、工艺控制、质量检测等复杂环节，对企业的技术水平、设备条件和管理能力要求较高。目前，国内外针对冻煮金枪鱼肉的标准尚不完善，现行标准难以全面指导生产加工的各个环节。部分中小企业因缺乏标准指导，在原料鱼新鲜度控制、产品速冻温度稳定性等方面存在明显短板，导致国内冻煮金枪鱼肉产品的总体质量参差不齐。</w:t>
      </w:r>
    </w:p>
    <w:p w14:paraId="63372F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当前，中国水产品加工业正处于从粗放型向高附加值转型的关键阶段。一方面，消费者对食品安全与品质的要求日益严格。2023年中国消费者协会的调查显示，76%的受访者将“无添加剂”和“可追溯原料”作为购买速冻水产品的首要考量；另一方面，国际市场竞争加剧倒逼企业技术创新，日本等国家凭借先进技术占据金枪鱼高端市场主导地位。在此背景下，推动冻煮金枪鱼肉标准化生产，既是满足国内消费升级需求的必然选择，也是提升产业链价值、增强国际竞争力的战略举措，具有深远的产业意义。</w:t>
      </w:r>
    </w:p>
    <w:p w14:paraId="53F45BA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b w:val="0"/>
          <w:bCs w:val="0"/>
          <w:sz w:val="28"/>
          <w:szCs w:val="28"/>
          <w:lang w:val="en-US" w:eastAsia="zh-CN"/>
        </w:rPr>
      </w:pPr>
      <w:r>
        <w:rPr>
          <w:rFonts w:hint="eastAsia" w:ascii="宋体" w:hAnsi="宋体" w:eastAsia="宋体" w:cs="宋体"/>
          <w:b/>
          <w:bCs/>
          <w:kern w:val="2"/>
          <w:sz w:val="28"/>
          <w:szCs w:val="28"/>
          <w:lang w:val="en-US" w:eastAsia="zh-CN" w:bidi="ar-SA"/>
        </w:rPr>
        <w:t>（三）</w:t>
      </w:r>
      <w:r>
        <w:rPr>
          <w:rFonts w:hint="eastAsia" w:ascii="宋体" w:hAnsi="宋体" w:eastAsia="宋体" w:cs="宋体"/>
          <w:b/>
          <w:bCs/>
          <w:sz w:val="28"/>
          <w:szCs w:val="28"/>
          <w:lang w:val="en-US" w:eastAsia="zh-CN"/>
        </w:rPr>
        <w:t>主要工作过程</w:t>
      </w:r>
    </w:p>
    <w:p w14:paraId="21468D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1.确定标准起草人员</w:t>
      </w:r>
    </w:p>
    <w:p w14:paraId="43ABEA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2025年4月，成立了由大洋世家（舟山）优品有限公司牵头组织，大洋世家（浙江）股份有限公司、浙江融创食品工业有限公司、浙江兴业集团有限公司、浙江大学湖州研究院、宁波规制标准技术有限公司等单位共同参与的《冻煮金枪鱼肉》团体标准编写工作组。</w:t>
      </w:r>
    </w:p>
    <w:p w14:paraId="7F7EC2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2.</w:t>
      </w:r>
      <w:r>
        <w:rPr>
          <w:rFonts w:hint="eastAsia" w:ascii="宋体" w:hAnsi="宋体" w:eastAsia="宋体" w:cs="宋体"/>
          <w:b/>
          <w:bCs/>
          <w:sz w:val="28"/>
          <w:szCs w:val="28"/>
          <w:lang w:val="en-US" w:eastAsia="zh-CN"/>
        </w:rPr>
        <w:t>起草阶段</w:t>
      </w:r>
    </w:p>
    <w:p w14:paraId="7C312E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2025年4月-5月，编写工作组通过多种途径收集了相关法律法规、国内外标准、技术文献等资料，进行了全面的研究分析与借鉴，结合生产实践经验等调研情况，确定了标准框架和主要技术内容，形成了标准草案和立项申请书。</w:t>
      </w:r>
    </w:p>
    <w:p w14:paraId="78136D7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3.</w:t>
      </w:r>
      <w:r>
        <w:rPr>
          <w:rFonts w:hint="eastAsia" w:ascii="宋体" w:hAnsi="宋体" w:eastAsia="宋体" w:cs="宋体"/>
          <w:b/>
          <w:bCs/>
          <w:sz w:val="28"/>
          <w:szCs w:val="28"/>
          <w:lang w:val="en-US" w:eastAsia="zh-CN"/>
        </w:rPr>
        <w:t>立项阶段</w:t>
      </w:r>
    </w:p>
    <w:p w14:paraId="716D27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2025年5月7日，由大洋世家（舟山）优品有限公司向中国水产学会提交了中国水产学会团体标准立项申请书。2025年6月4日，中国水产学会组织团体标准立项研讨会，会议邀请浙江工商大学食品与生物工程学院副院长卢延斌、浙江省水产技术推广站教授级高工王扬、浙江工业大学食品科学与工程学院教授周旭霞、中国水产科学研究院长江水产研究所研究员刘永涛、大连海洋大学海洋科技与环境学院副院长杨军5名专家。</w:t>
      </w:r>
    </w:p>
    <w:p w14:paraId="3EDF1C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与会专家就本标准立项的合规性、必要性、可行性以及标准草案的适用性、协调性等进行充分讨论，一致同意通过立项，并形成如下修改意见：1）编制说明的背景部分补充该类产品现有产量、质量情况，补充其他利益相关方调研情况等内容；2）根据《国家标准管理办法》对本标准编制说明进行梳理，对“组胺”的参数设定依据进行说明。</w:t>
      </w:r>
    </w:p>
    <w:p w14:paraId="7491B7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会后，编写工作组开展内部研讨，根据专家提出的意见和建议对标准框架结构及内容进行了修改完善，形成了标准征求意见稿及编制说明。</w:t>
      </w:r>
    </w:p>
    <w:p w14:paraId="72DCF7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4.征求意见</w:t>
      </w:r>
      <w:r>
        <w:rPr>
          <w:rFonts w:hint="eastAsia" w:ascii="宋体" w:hAnsi="宋体" w:eastAsia="宋体" w:cs="宋体"/>
          <w:b/>
          <w:bCs/>
          <w:sz w:val="28"/>
          <w:szCs w:val="28"/>
          <w:lang w:val="en-US" w:eastAsia="zh-CN"/>
        </w:rPr>
        <w:t>阶段</w:t>
      </w:r>
    </w:p>
    <w:p w14:paraId="122460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2025年7月11日-8月11日，中国水产学会发布征求意见公告，面向全国相关企业、科研机构、检验机构、行</w:t>
      </w:r>
      <w:bookmarkStart w:id="0" w:name="_GoBack"/>
      <w:bookmarkEnd w:id="0"/>
      <w:r>
        <w:rPr>
          <w:rFonts w:hint="eastAsia" w:ascii="宋体" w:hAnsi="宋体" w:eastAsia="宋体" w:cs="宋体"/>
          <w:b w:val="0"/>
          <w:bCs w:val="0"/>
          <w:sz w:val="28"/>
          <w:szCs w:val="28"/>
          <w:lang w:val="en-US" w:eastAsia="zh-CN"/>
        </w:rPr>
        <w:t>业协会等单位征集意见建议。</w:t>
      </w:r>
    </w:p>
    <w:p w14:paraId="794DFFC9">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（四）</w:t>
      </w:r>
      <w:r>
        <w:rPr>
          <w:rFonts w:hint="eastAsia" w:ascii="宋体" w:hAnsi="宋体" w:eastAsia="宋体" w:cs="宋体"/>
          <w:b/>
          <w:bCs/>
          <w:sz w:val="28"/>
          <w:szCs w:val="28"/>
          <w:lang w:val="en-US" w:eastAsia="zh-CN"/>
        </w:rPr>
        <w:t>编写工作组成员分工</w:t>
      </w:r>
    </w:p>
    <w:p w14:paraId="2873BD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施佩影，大洋世家（浙江）股份有限公司，副总经理，负责标准框架结构和内容的确定；</w:t>
      </w:r>
    </w:p>
    <w:p w14:paraId="66A09F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武奇杰，大洋世家（舟山）优品有限公司，品管部经理，负责技术验证；</w:t>
      </w:r>
    </w:p>
    <w:p w14:paraId="4467F07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周凤，浙江融创食品工业有限公司，品管部经理，负责技术验证；</w:t>
      </w:r>
    </w:p>
    <w:p w14:paraId="1924D2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周小敏，浙江兴业集团有限公司，副总经理，作为技术顾问提供专业支持；</w:t>
      </w:r>
    </w:p>
    <w:p w14:paraId="4CC411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王坚强，浙江融创食品工业有限公司，高级工程师，作为技术顾问提供专业支持；</w:t>
      </w:r>
    </w:p>
    <w:p w14:paraId="0533DA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欧远，浙江兴业集团有限公司，品管部部长，负责技术验证；</w:t>
      </w:r>
    </w:p>
    <w:p w14:paraId="54713A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张昆明，大洋世家（舟山）优品有限公司，生产厂长，负责生产实践经验调研；</w:t>
      </w:r>
    </w:p>
    <w:p w14:paraId="3422C7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赵蒋鲁，大洋世家（舟山）优品有限公司，体系科负责人，负责资料收集和分析；</w:t>
      </w:r>
    </w:p>
    <w:p w14:paraId="1B43FA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陈紫薇，浙江大学湖州研究院，标准化工程师，负责标准编制相关文本的撰写；</w:t>
      </w:r>
    </w:p>
    <w:p w14:paraId="6FB68F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梁晨，宁波规制标准技术有限公司，负责资料整理。</w:t>
      </w:r>
    </w:p>
    <w:p w14:paraId="49F07192">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（五）调研资料分析</w:t>
      </w:r>
    </w:p>
    <w:p w14:paraId="509943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编写工作组对收集的相关法律法规、国内外标准、技术文献、生产实践经验等情况进行综合分析。</w:t>
      </w:r>
    </w:p>
    <w:p w14:paraId="7C3FB7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2" w:firstLineChars="200"/>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1.金枪鱼产品分类</w:t>
      </w:r>
    </w:p>
    <w:p w14:paraId="20DD60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参考GB 10136—2015《食品安全国家标准 动物性水产制品》、GB/T 36193—2018《水产品加工术语》、GB/T 41545—2022《水产品及水产加工品分类与名称》、SB/T 11073—2013《速冻食品术语》、QB/T 5284—2025《冷藏、冷冻食品术语与分类》等标准、食品生产许可分类目录（2020年修订版），结合生产实践调查，按食用方式和加工方式，大致将国内外金枪鱼产品分为生冻类、冻煮类、冷冻调制类、非即食调味品类、生食类、罐头类、即食调味品类、休闲零食类、组合膳食类、营养保健类10个类型，见图1。</w:t>
      </w:r>
    </w:p>
    <w:p w14:paraId="2B8769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object>
          <v:shape id="_x0000_i1025" o:spt="75" type="#_x0000_t75" style="height:294pt;width:391.5pt;" o:ole="t" filled="f" o:preferrelative="t" stroked="f" coordsize="21600,21600">
            <v:path/>
            <v:fill on="f" focussize="0,0"/>
            <v:stroke on="f"/>
            <v:imagedata r:id="rId5" o:title=""/>
            <o:lock v:ext="edit" aspectratio="f"/>
            <w10:wrap type="none"/>
            <w10:anchorlock/>
          </v:shape>
          <o:OLEObject Type="Embed" ProgID="Visio.Drawing.15" ShapeID="_x0000_i1025" DrawAspect="Content" ObjectID="_1468075725" r:id="rId4">
            <o:LockedField>false</o:LockedField>
          </o:OLEObject>
        </w:object>
      </w:r>
    </w:p>
    <w:p w14:paraId="29228DDE">
      <w:pPr>
        <w:pStyle w:val="3"/>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sz w:val="21"/>
          <w:szCs w:val="21"/>
          <w:lang w:val="en-US" w:eastAsia="zh-CN"/>
        </w:rPr>
      </w:pPr>
      <w:r>
        <w:rPr>
          <w:rFonts w:hint="eastAsia"/>
          <w:sz w:val="21"/>
          <w:szCs w:val="21"/>
          <w:lang w:val="en-US" w:eastAsia="zh-CN"/>
        </w:rPr>
        <w:t>图 1金枪鱼产品分类</w:t>
      </w:r>
    </w:p>
    <w:p w14:paraId="1FF1B9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2" w:firstLineChars="200"/>
        <w:jc w:val="both"/>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2.国内外相关产品标准</w:t>
      </w:r>
    </w:p>
    <w:p w14:paraId="318F22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生冻类、冷冻调制类、罐头类金枪鱼产品在国内外相关产品标准中已有明确的定义和较为完善的技术要求。冻煮类金枪鱼产品尚未有针对性的产品标准，术语定义和技术要求尚未明确，冻煮类水产的产品标准有冻煮海参等可供参考。相关标准和产品定义见表1。</w:t>
      </w:r>
    </w:p>
    <w:p w14:paraId="2779EDF4">
      <w:pPr>
        <w:pStyle w:val="3"/>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sz w:val="21"/>
          <w:szCs w:val="21"/>
          <w:lang w:val="en-US" w:eastAsia="zh-CN"/>
        </w:rPr>
      </w:pPr>
      <w:r>
        <w:rPr>
          <w:sz w:val="21"/>
          <w:szCs w:val="21"/>
        </w:rPr>
        <w:t xml:space="preserve">表 </w:t>
      </w:r>
      <w:r>
        <w:rPr>
          <w:sz w:val="21"/>
          <w:szCs w:val="21"/>
        </w:rPr>
        <w:fldChar w:fldCharType="begin"/>
      </w:r>
      <w:r>
        <w:rPr>
          <w:sz w:val="21"/>
          <w:szCs w:val="21"/>
        </w:rPr>
        <w:instrText xml:space="preserve"> SEQ 表 \* ARABIC </w:instrText>
      </w:r>
      <w:r>
        <w:rPr>
          <w:sz w:val="21"/>
          <w:szCs w:val="21"/>
        </w:rPr>
        <w:fldChar w:fldCharType="separate"/>
      </w:r>
      <w:r>
        <w:rPr>
          <w:sz w:val="21"/>
          <w:szCs w:val="21"/>
        </w:rPr>
        <w:t>1</w:t>
      </w:r>
      <w:r>
        <w:rPr>
          <w:sz w:val="21"/>
          <w:szCs w:val="21"/>
        </w:rPr>
        <w:fldChar w:fldCharType="end"/>
      </w:r>
      <w:r>
        <w:rPr>
          <w:rFonts w:hint="eastAsia"/>
          <w:sz w:val="21"/>
          <w:szCs w:val="21"/>
          <w:lang w:val="en-US" w:eastAsia="zh-CN"/>
        </w:rPr>
        <w:t>国内外金枪鱼相关产品标准</w:t>
      </w:r>
    </w:p>
    <w:tbl>
      <w:tblPr>
        <w:tblStyle w:val="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2303"/>
        <w:gridCol w:w="5122"/>
      </w:tblGrid>
      <w:tr w14:paraId="03E6D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tcBorders>
              <w:bottom w:val="single" w:color="auto" w:sz="8" w:space="0"/>
            </w:tcBorders>
            <w:vAlign w:val="center"/>
          </w:tcPr>
          <w:p w14:paraId="46FABF5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产品类型</w:t>
            </w:r>
          </w:p>
        </w:tc>
        <w:tc>
          <w:tcPr>
            <w:tcW w:w="1351" w:type="pct"/>
            <w:tcBorders>
              <w:bottom w:val="single" w:color="auto" w:sz="8" w:space="0"/>
            </w:tcBorders>
            <w:vAlign w:val="center"/>
          </w:tcPr>
          <w:p w14:paraId="2A3A113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相关标准</w:t>
            </w:r>
          </w:p>
        </w:tc>
        <w:tc>
          <w:tcPr>
            <w:tcW w:w="3005" w:type="pct"/>
            <w:tcBorders>
              <w:bottom w:val="single" w:color="auto" w:sz="8" w:space="0"/>
            </w:tcBorders>
            <w:shd w:val="clear" w:color="auto" w:fill="auto"/>
            <w:vAlign w:val="center"/>
          </w:tcPr>
          <w:p w14:paraId="16CB49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_GB2312" w:hAnsi="仿宋_GB2312" w:eastAsia="仿宋_GB2312" w:cs="仿宋_GB2312"/>
                <w:b/>
                <w:bCs/>
                <w:kern w:val="2"/>
                <w:sz w:val="21"/>
                <w:szCs w:val="21"/>
                <w:vertAlign w:val="baseline"/>
                <w:lang w:val="en-US" w:eastAsia="zh-CN" w:bidi="ar-SA"/>
              </w:rPr>
            </w:pPr>
            <w:r>
              <w:rPr>
                <w:rFonts w:hint="eastAsia" w:ascii="仿宋_GB2312" w:hAnsi="仿宋_GB2312" w:eastAsia="仿宋_GB2312" w:cs="仿宋_GB2312"/>
                <w:b/>
                <w:bCs/>
                <w:kern w:val="2"/>
                <w:sz w:val="21"/>
                <w:szCs w:val="21"/>
                <w:vertAlign w:val="baseline"/>
                <w:lang w:val="en-US" w:eastAsia="zh-CN" w:bidi="ar-SA"/>
              </w:rPr>
              <w:t>产品定义（范围/术语定义）</w:t>
            </w:r>
          </w:p>
        </w:tc>
      </w:tr>
      <w:tr w14:paraId="1ED6B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642" w:type="pct"/>
            <w:vMerge w:val="restart"/>
            <w:tcBorders>
              <w:top w:val="single" w:color="auto" w:sz="8" w:space="0"/>
            </w:tcBorders>
            <w:vAlign w:val="center"/>
          </w:tcPr>
          <w:p w14:paraId="0414E2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生冻类</w:t>
            </w:r>
          </w:p>
        </w:tc>
        <w:tc>
          <w:tcPr>
            <w:tcW w:w="1351" w:type="pct"/>
            <w:tcBorders>
              <w:top w:val="single" w:color="auto" w:sz="8" w:space="0"/>
            </w:tcBorders>
            <w:vAlign w:val="center"/>
          </w:tcPr>
          <w:p w14:paraId="736011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GB 2733-2015</w:t>
            </w:r>
          </w:p>
          <w:p w14:paraId="200A37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《食品安全国家标准 鲜、冻动物性水产品》</w:t>
            </w:r>
          </w:p>
        </w:tc>
        <w:tc>
          <w:tcPr>
            <w:tcW w:w="3005" w:type="pct"/>
            <w:tcBorders>
              <w:top w:val="single" w:color="auto" w:sz="8" w:space="0"/>
            </w:tcBorders>
            <w:vAlign w:val="center"/>
          </w:tcPr>
          <w:p w14:paraId="6569FE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鲜、冻动物性水产品，包括海水产品和淡水产品。</w:t>
            </w:r>
          </w:p>
        </w:tc>
      </w:tr>
      <w:tr w14:paraId="4C7A9C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642" w:type="pct"/>
            <w:vMerge w:val="continue"/>
            <w:vAlign w:val="center"/>
          </w:tcPr>
          <w:p w14:paraId="29AA3D0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7FA508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default" w:ascii="仿宋_GB2312" w:hAnsi="仿宋_GB2312" w:eastAsia="仿宋_GB2312" w:cs="仿宋_GB2312"/>
                <w:b w:val="0"/>
                <w:bCs w:val="0"/>
                <w:sz w:val="21"/>
                <w:szCs w:val="21"/>
                <w:vertAlign w:val="baseline"/>
                <w:lang w:val="en-US" w:eastAsia="zh-CN"/>
              </w:rPr>
              <w:t>GB/T 18109-2024</w:t>
            </w:r>
          </w:p>
          <w:p w14:paraId="238452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《冻鱼》</w:t>
            </w:r>
          </w:p>
        </w:tc>
        <w:tc>
          <w:tcPr>
            <w:tcW w:w="3005" w:type="pct"/>
            <w:vAlign w:val="center"/>
          </w:tcPr>
          <w:p w14:paraId="7A4716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符合GB/T 36193-2018定义的带头或去头的、去内脏或未去内脏的冻鱼产品。</w:t>
            </w:r>
          </w:p>
        </w:tc>
      </w:tr>
      <w:tr w14:paraId="0275D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pct"/>
            <w:vMerge w:val="continue"/>
            <w:vAlign w:val="center"/>
          </w:tcPr>
          <w:p w14:paraId="08AB3C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shd w:val="clear" w:color="auto" w:fill="auto"/>
            <w:vAlign w:val="center"/>
          </w:tcPr>
          <w:p w14:paraId="3E2D12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GB/T 45061-2024</w:t>
            </w:r>
          </w:p>
          <w:p w14:paraId="2C1E20B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《冻鱼片》</w:t>
            </w:r>
          </w:p>
        </w:tc>
        <w:tc>
          <w:tcPr>
            <w:tcW w:w="3005" w:type="pct"/>
            <w:vAlign w:val="center"/>
          </w:tcPr>
          <w:p w14:paraId="52A492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沿着与鱼脊骨平行的方向从鱼体上剖切得到的片状鱼肉，带皮或无皮，经速冻而成的产品，不包括冻罗非鱼片。</w:t>
            </w:r>
          </w:p>
        </w:tc>
      </w:tr>
      <w:tr w14:paraId="00374B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222DA4B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46E4F3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GB/T 36187-2024</w:t>
            </w:r>
          </w:p>
          <w:p w14:paraId="05BBD9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《冷冻鱼糜》</w:t>
            </w:r>
          </w:p>
        </w:tc>
        <w:tc>
          <w:tcPr>
            <w:tcW w:w="3005" w:type="pct"/>
            <w:vAlign w:val="center"/>
          </w:tcPr>
          <w:p w14:paraId="3781A1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以鱼类为原料，经预处理、清洗、采肉、漂洗、精滤、脱水、混合、速冻等工序生产的产品，主要作为加工鱼糜制品的原料。</w:t>
            </w:r>
          </w:p>
        </w:tc>
      </w:tr>
      <w:tr w14:paraId="339C4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07FD16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4146B27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T/SSQL 004-2023</w:t>
            </w:r>
          </w:p>
          <w:p w14:paraId="4CF2B83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《地理标志证明商标产品 三沙金枪鱼（非活）》</w:t>
            </w:r>
          </w:p>
        </w:tc>
        <w:tc>
          <w:tcPr>
            <w:tcW w:w="3005" w:type="pct"/>
            <w:vAlign w:val="center"/>
          </w:tcPr>
          <w:p w14:paraId="59A1B6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文本未公开。</w:t>
            </w:r>
          </w:p>
        </w:tc>
      </w:tr>
      <w:tr w14:paraId="14C0E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pct"/>
            <w:vMerge w:val="continue"/>
            <w:vAlign w:val="center"/>
          </w:tcPr>
          <w:p w14:paraId="7962D8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4A20020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CXS 36-1981（2017）</w:t>
            </w:r>
          </w:p>
          <w:p w14:paraId="17A5570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《国际食品法典标准 速冻去内脏和未去内脏鱼》</w:t>
            </w:r>
          </w:p>
        </w:tc>
        <w:tc>
          <w:tcPr>
            <w:tcW w:w="3005" w:type="pct"/>
            <w:vAlign w:val="center"/>
          </w:tcPr>
          <w:p w14:paraId="247272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速冻（经过适当预处理后，在合适的设备中，使产品迅速通过最大冰晶生成温度带，产品中心温度达到并稳定在-18℃&lt;0℉&gt;以下，产品在运输、贮存、分销过程中保持深度冻结状态）去内脏和未去内脏的鱼类，不包括盐水冷冻鱼类的进一步处理。</w:t>
            </w:r>
          </w:p>
        </w:tc>
      </w:tr>
      <w:tr w14:paraId="17E5B6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642" w:type="pct"/>
            <w:vMerge w:val="continue"/>
            <w:vAlign w:val="center"/>
          </w:tcPr>
          <w:p w14:paraId="799674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0445E03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CXS 165-1989（2017）</w:t>
            </w:r>
          </w:p>
          <w:p w14:paraId="38020B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《国际食品法典标准 速冻块状鱼片、鱼糜和混合鱼片鱼糜》</w:t>
            </w:r>
          </w:p>
        </w:tc>
        <w:tc>
          <w:tcPr>
            <w:tcW w:w="3005" w:type="pct"/>
            <w:vAlign w:val="center"/>
          </w:tcPr>
          <w:p w14:paraId="09F916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default" w:ascii="仿宋_GB2312" w:hAnsi="仿宋_GB2312" w:eastAsia="仿宋_GB2312" w:cs="仿宋_GB2312"/>
                <w:b w:val="0"/>
                <w:bCs w:val="0"/>
                <w:sz w:val="21"/>
                <w:szCs w:val="21"/>
                <w:vertAlign w:val="baseline"/>
                <w:lang w:val="en-US" w:eastAsia="zh-CN"/>
              </w:rPr>
              <w:t>适用于黏结鱼肉的速冻块。速冻块由</w:t>
            </w:r>
            <w:r>
              <w:rPr>
                <w:rFonts w:hint="eastAsia" w:ascii="仿宋_GB2312" w:hAnsi="仿宋_GB2312" w:eastAsia="仿宋_GB2312" w:cs="仿宋_GB2312"/>
                <w:b w:val="0"/>
                <w:bCs w:val="0"/>
                <w:sz w:val="21"/>
                <w:szCs w:val="21"/>
                <w:vertAlign w:val="baseline"/>
                <w:lang w:val="en-US" w:eastAsia="zh-CN"/>
              </w:rPr>
              <w:t>单一或具有类似感官特性的鱼种的</w:t>
            </w:r>
            <w:r>
              <w:rPr>
                <w:rFonts w:hint="default" w:ascii="仿宋_GB2312" w:hAnsi="仿宋_GB2312" w:eastAsia="仿宋_GB2312" w:cs="仿宋_GB2312"/>
                <w:b w:val="0"/>
                <w:bCs w:val="0"/>
                <w:sz w:val="21"/>
                <w:szCs w:val="21"/>
                <w:vertAlign w:val="baseline"/>
                <w:lang w:val="en-US" w:eastAsia="zh-CN"/>
              </w:rPr>
              <w:t>鱼片</w:t>
            </w:r>
            <w:r>
              <w:rPr>
                <w:rFonts w:hint="eastAsia" w:ascii="仿宋_GB2312" w:hAnsi="仿宋_GB2312" w:eastAsia="仿宋_GB2312" w:cs="仿宋_GB2312"/>
                <w:b w:val="0"/>
                <w:bCs w:val="0"/>
                <w:sz w:val="21"/>
                <w:szCs w:val="21"/>
                <w:vertAlign w:val="baseline"/>
                <w:lang w:val="en-US" w:eastAsia="zh-CN"/>
              </w:rPr>
              <w:t>（含碎片）</w:t>
            </w:r>
            <w:r>
              <w:rPr>
                <w:rFonts w:hint="default" w:ascii="仿宋_GB2312" w:hAnsi="仿宋_GB2312" w:eastAsia="仿宋_GB2312" w:cs="仿宋_GB2312"/>
                <w:b w:val="0"/>
                <w:bCs w:val="0"/>
                <w:sz w:val="21"/>
                <w:szCs w:val="21"/>
                <w:vertAlign w:val="baseline"/>
                <w:lang w:val="en-US" w:eastAsia="zh-CN"/>
              </w:rPr>
              <w:t xml:space="preserve">、鱼糜、或鱼片与鱼糜的混合物制备而成，呈矩形或其他规则外形，适合人类食用。 </w:t>
            </w:r>
          </w:p>
        </w:tc>
      </w:tr>
      <w:tr w14:paraId="7981C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363ED62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55EF340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CXS 190-1995（2017）</w:t>
            </w:r>
          </w:p>
          <w:p w14:paraId="336885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《国际食品法典标准 速冻鱼片》</w:t>
            </w:r>
          </w:p>
        </w:tc>
        <w:tc>
          <w:tcPr>
            <w:tcW w:w="3005" w:type="pct"/>
            <w:vAlign w:val="center"/>
          </w:tcPr>
          <w:p w14:paraId="17E4EF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从适于人类食用的同一物种的鱼体上取下的大小形状不一，经速冻工艺（同CXS 36）加工的鱼肉切片。为便于包装，切片时与脊椎骨平行切割。</w:t>
            </w:r>
          </w:p>
        </w:tc>
      </w:tr>
      <w:tr w14:paraId="097F78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42" w:type="pct"/>
            <w:vMerge w:val="continue"/>
            <w:vAlign w:val="center"/>
          </w:tcPr>
          <w:p w14:paraId="1DE4425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1236DD5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ISO 23855:2021</w:t>
            </w:r>
          </w:p>
          <w:p w14:paraId="75B289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《冷冻鱼糜》</w:t>
            </w:r>
          </w:p>
        </w:tc>
        <w:tc>
          <w:tcPr>
            <w:tcW w:w="3005" w:type="pct"/>
            <w:vAlign w:val="center"/>
          </w:tcPr>
          <w:p w14:paraId="2A01AD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经预处理、清洗、采肉、将鱼肉漂洗、切碎和精滤，再经脱水，加抗冻剂混合斩拌和速冻等工序制成的鱼肉肌原纤维蛋白产品。</w:t>
            </w:r>
          </w:p>
        </w:tc>
      </w:tr>
      <w:tr w14:paraId="44E1F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restart"/>
            <w:vAlign w:val="center"/>
          </w:tcPr>
          <w:p w14:paraId="3938F1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冻煮类</w:t>
            </w:r>
          </w:p>
        </w:tc>
        <w:tc>
          <w:tcPr>
            <w:tcW w:w="1351" w:type="pct"/>
            <w:vAlign w:val="center"/>
          </w:tcPr>
          <w:p w14:paraId="3B5B678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T/LNHX 002-2024</w:t>
            </w:r>
          </w:p>
          <w:p w14:paraId="44DE3F8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《冻煮海参》</w:t>
            </w:r>
          </w:p>
        </w:tc>
        <w:tc>
          <w:tcPr>
            <w:tcW w:w="3005" w:type="pct"/>
            <w:vAlign w:val="center"/>
          </w:tcPr>
          <w:p w14:paraId="5F773CC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以鲜、活海参（刺参）为原料，经去内脏、清洗、预煮、冷却、速冻等工序制成的不可直接食用的产品。</w:t>
            </w:r>
          </w:p>
        </w:tc>
      </w:tr>
      <w:tr w14:paraId="62B11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42" w:type="pct"/>
            <w:vMerge w:val="continue"/>
            <w:vAlign w:val="center"/>
          </w:tcPr>
          <w:p w14:paraId="307032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7CF6C1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T/SCFA 0017-2024</w:t>
            </w:r>
          </w:p>
          <w:p w14:paraId="2F3BBA6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《普兰店冻煮海参》</w:t>
            </w:r>
          </w:p>
        </w:tc>
        <w:tc>
          <w:tcPr>
            <w:tcW w:w="3005" w:type="pct"/>
            <w:vAlign w:val="center"/>
          </w:tcPr>
          <w:p w14:paraId="091CB5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以大连普兰店地区生产的仿刺参为原料，经去内脏、清洗、预煮、冷却、速冻等工序制成的不包冰衣且不可直接食用的产品。</w:t>
            </w:r>
          </w:p>
        </w:tc>
      </w:tr>
      <w:tr w14:paraId="43D7F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642" w:type="pct"/>
            <w:vMerge w:val="restart"/>
            <w:vAlign w:val="center"/>
          </w:tcPr>
          <w:p w14:paraId="6276D9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冷冻调制类</w:t>
            </w:r>
          </w:p>
        </w:tc>
        <w:tc>
          <w:tcPr>
            <w:tcW w:w="1351" w:type="pct"/>
            <w:shd w:val="clear" w:color="auto" w:fill="auto"/>
            <w:vAlign w:val="center"/>
          </w:tcPr>
          <w:p w14:paraId="31B731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GB/T 41233-2022</w:t>
            </w:r>
          </w:p>
          <w:p w14:paraId="7A00523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《冻鱼糜制品》</w:t>
            </w:r>
          </w:p>
        </w:tc>
        <w:tc>
          <w:tcPr>
            <w:tcW w:w="3005" w:type="pct"/>
            <w:vAlign w:val="center"/>
          </w:tcPr>
          <w:p w14:paraId="20D7AFE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冷冻鱼糜或鲜（冻）鱼、虾、贝、头足类等动物性水产品为主要原料（在配料中占比50%以上），添加食用盐等其他配料，经一定工艺加工制成的非即食冷冻产品。注：一般包括冷冻鱼丸、鱼糕、鱼卷、虾丸、虾饼、墨鱼丸、贝肉丸、模拟扇贝柱、模拟蟹肉等。</w:t>
            </w:r>
          </w:p>
        </w:tc>
      </w:tr>
      <w:tr w14:paraId="18A28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00C6FC2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42A1AF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NY/T 2976-2025</w:t>
            </w:r>
          </w:p>
          <w:p w14:paraId="49F7E7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《绿色食品 冷藏、速冻调制水产品》</w:t>
            </w:r>
          </w:p>
        </w:tc>
        <w:tc>
          <w:tcPr>
            <w:tcW w:w="3005" w:type="pct"/>
            <w:vAlign w:val="center"/>
          </w:tcPr>
          <w:p w14:paraId="4BDE34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冷藏（用快速冷却工艺使产品中心温度降至冰点以上，7℃以下，并在0℃～4℃条件下储存、运输和销售）或冷冻（用速冻工艺使产品中心温度降至-18℃以下，并在该温度条件下储存、运输和销售）条件下的绿色食品调制水产品。</w:t>
            </w:r>
          </w:p>
        </w:tc>
      </w:tr>
      <w:tr w14:paraId="74D6B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2D24D7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30E16C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QB/T 4891-2015</w:t>
            </w:r>
          </w:p>
          <w:p w14:paraId="6206E2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《冷冻调制食品技术规范》</w:t>
            </w:r>
          </w:p>
        </w:tc>
        <w:tc>
          <w:tcPr>
            <w:tcW w:w="3005" w:type="pct"/>
            <w:vAlign w:val="center"/>
          </w:tcPr>
          <w:p w14:paraId="6BE918E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谷物、豆类或薯类及其制品、畜禽肉及其制品、水产品及其制品、植物蛋白及其制品、果蔬及其制品、蛋及其制品、食用菌及其制品等为主要原料，配以辅料（含食品添加剂），经调味或不调味的制作加工，采用与产品相适应的冻结工艺，在冷冻状态下储存、运输和销售的预包装食品。</w:t>
            </w:r>
          </w:p>
        </w:tc>
      </w:tr>
      <w:tr w14:paraId="7C313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7DE44D3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3FF4842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SB/T 10379-2012</w:t>
            </w:r>
          </w:p>
          <w:p w14:paraId="19CE5C0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《速冻调制食品》</w:t>
            </w:r>
          </w:p>
        </w:tc>
        <w:tc>
          <w:tcPr>
            <w:tcW w:w="3005" w:type="pct"/>
            <w:vAlign w:val="center"/>
          </w:tcPr>
          <w:p w14:paraId="5EBA143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谷物或豆类或薯类及其制品、畜禽肉及其制品、水产品及其制品、植物蛋白及其制品、果蔬及其制品、蛋及其制品、食用菌及其制品等为主要原料，配以辅料（含食品添加剂），经调味制作加工，采用速冻工艺，在低温状态下贮存、运输和销售的预包装食品。</w:t>
            </w:r>
          </w:p>
        </w:tc>
      </w:tr>
      <w:tr w14:paraId="0A5373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1CDE82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5D5A37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CXC 166-1989（2017）</w:t>
            </w:r>
          </w:p>
          <w:p w14:paraId="0226E7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《国际食品法典标准 速冻面包屑或面包糊裹鱼条、鱼块和鱼片》</w:t>
            </w:r>
          </w:p>
        </w:tc>
        <w:tc>
          <w:tcPr>
            <w:tcW w:w="3005" w:type="pct"/>
            <w:vAlign w:val="center"/>
          </w:tcPr>
          <w:p w14:paraId="5DCFFF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生制或半熟的、用面包屑或面糊包裹（单独或合用）、无须工业再加工即可直接供人类食用的速冻天然鱼片以及从速鱼冻块上切下或由鱼肉制成的速冻鱼条和鱼块。</w:t>
            </w:r>
          </w:p>
        </w:tc>
      </w:tr>
      <w:tr w14:paraId="624E8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3F216E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304870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ISO 17648:2025</w:t>
            </w:r>
          </w:p>
          <w:p w14:paraId="0F9929C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《速冻裹粉水产品》</w:t>
            </w:r>
          </w:p>
        </w:tc>
        <w:tc>
          <w:tcPr>
            <w:tcW w:w="3005" w:type="pct"/>
            <w:vAlign w:val="center"/>
          </w:tcPr>
          <w:p w14:paraId="376E9E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适用于由单一品种的鱼类、甲壳类动物、头足类动物或其他水生动物制成的生或预煮产品，主要工艺包括预处理、用湿法和或干法裹上浆料和或面包屑，然后进行速冻。</w:t>
            </w:r>
          </w:p>
        </w:tc>
      </w:tr>
      <w:tr w14:paraId="4CE17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restart"/>
            <w:vAlign w:val="center"/>
          </w:tcPr>
          <w:p w14:paraId="042F63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非即食调味品类</w:t>
            </w:r>
          </w:p>
        </w:tc>
        <w:tc>
          <w:tcPr>
            <w:tcW w:w="1351" w:type="pct"/>
            <w:vAlign w:val="center"/>
          </w:tcPr>
          <w:p w14:paraId="1FB8737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GB 1903.26-2022</w:t>
            </w:r>
          </w:p>
          <w:p w14:paraId="01ED5A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《食品安全国家标准 食品营养强化剂 二十二碳六烯酸油脂（金枪鱼油）》</w:t>
            </w:r>
          </w:p>
        </w:tc>
        <w:tc>
          <w:tcPr>
            <w:tcW w:w="3005" w:type="pct"/>
            <w:vAlign w:val="center"/>
          </w:tcPr>
          <w:p w14:paraId="11F1BC6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以金枪鱼为原料，经加热、分离、精制、提纯等工艺制成的食品营养强化剂。</w:t>
            </w:r>
          </w:p>
        </w:tc>
      </w:tr>
      <w:tr w14:paraId="32F3B3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1921C6B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7A7D190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SC/T 3502-2016</w:t>
            </w:r>
          </w:p>
          <w:p w14:paraId="68F18A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《鱼油》</w:t>
            </w:r>
          </w:p>
        </w:tc>
        <w:tc>
          <w:tcPr>
            <w:tcW w:w="3005" w:type="pct"/>
            <w:vAlign w:val="center"/>
          </w:tcPr>
          <w:p w14:paraId="74A20B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作为原料油使用的粗鱼油（从鱼粉生产的榨汁或水产品加工副产物中分离获得的油脂）及精制鱼油（粗鱼油经脱胶、脱酸、脱色、脱臭等处理后获得的鱼油）。</w:t>
            </w:r>
          </w:p>
        </w:tc>
      </w:tr>
      <w:tr w14:paraId="29C09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42" w:type="pct"/>
            <w:vAlign w:val="center"/>
          </w:tcPr>
          <w:p w14:paraId="3D50AC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生食类</w:t>
            </w:r>
          </w:p>
        </w:tc>
        <w:tc>
          <w:tcPr>
            <w:tcW w:w="1351" w:type="pct"/>
            <w:vAlign w:val="center"/>
          </w:tcPr>
          <w:p w14:paraId="33F9687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SC/T 3117-2006</w:t>
            </w:r>
          </w:p>
          <w:p w14:paraId="0C8F2D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《生食金枪鱼》</w:t>
            </w:r>
          </w:p>
        </w:tc>
        <w:tc>
          <w:tcPr>
            <w:tcW w:w="3005" w:type="pct"/>
            <w:vAlign w:val="center"/>
          </w:tcPr>
          <w:p w14:paraId="1737F1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以冰鲜或深度冷冻的鲭科金枪鱼为原料，制作生食用的产品。箭鱼科、旗鱼科等其他金枪鱼类产品可参照执行。</w:t>
            </w:r>
          </w:p>
        </w:tc>
      </w:tr>
      <w:tr w14:paraId="6BD9D2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restart"/>
            <w:vAlign w:val="center"/>
          </w:tcPr>
          <w:p w14:paraId="476155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罐头类</w:t>
            </w:r>
          </w:p>
        </w:tc>
        <w:tc>
          <w:tcPr>
            <w:tcW w:w="1351" w:type="pct"/>
            <w:vAlign w:val="center"/>
          </w:tcPr>
          <w:p w14:paraId="532AC5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GB 7098-2025</w:t>
            </w:r>
          </w:p>
          <w:p w14:paraId="1B0340E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《食品安全国家标准 罐头食品》</w:t>
            </w:r>
          </w:p>
        </w:tc>
        <w:tc>
          <w:tcPr>
            <w:tcW w:w="3005" w:type="pct"/>
            <w:vAlign w:val="center"/>
          </w:tcPr>
          <w:p w14:paraId="5117C2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水果、蔬菜、食用菌、畜禽肉、水产品、谷物、豆类、坚果及籽类、蛋类等为原料，经加工处理，装罐或灌装入金属罐、玻璃瓶、半刚性容器或软包装容器，采用密封、杀菌方式或杀菌、密封方式，达到商业无菌要求的食品。</w:t>
            </w:r>
          </w:p>
        </w:tc>
      </w:tr>
      <w:tr w14:paraId="06532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642" w:type="pct"/>
            <w:vMerge w:val="continue"/>
            <w:vAlign w:val="center"/>
          </w:tcPr>
          <w:p w14:paraId="5113C5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p>
        </w:tc>
        <w:tc>
          <w:tcPr>
            <w:tcW w:w="1351" w:type="pct"/>
            <w:vAlign w:val="center"/>
          </w:tcPr>
          <w:p w14:paraId="561328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GB/T 24403-2023</w:t>
            </w:r>
          </w:p>
          <w:p w14:paraId="1D1BD7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《金枪鱼罐头质量通则》</w:t>
            </w:r>
          </w:p>
        </w:tc>
        <w:tc>
          <w:tcPr>
            <w:tcW w:w="3005" w:type="pct"/>
            <w:vAlign w:val="center"/>
          </w:tcPr>
          <w:p w14:paraId="4101E67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以鲔鱼类、鲣鱼类等金枪鱼为原料，添加水、食用盐、食用油等辅料或通过调味、烟熏等方式处理，经预处理、装罐、密封、杀菌而制成的罐藏食品。</w:t>
            </w:r>
          </w:p>
        </w:tc>
      </w:tr>
      <w:tr w14:paraId="2F916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0CC80C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2979B8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CXS 70-1981（2018）</w:t>
            </w:r>
          </w:p>
          <w:p w14:paraId="39764A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《国际食品法典标准 金枪鱼和鲣鱼罐头》</w:t>
            </w:r>
          </w:p>
        </w:tc>
        <w:tc>
          <w:tcPr>
            <w:tcW w:w="3005" w:type="pct"/>
            <w:vAlign w:val="center"/>
          </w:tcPr>
          <w:p w14:paraId="227668B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适用于金枪鱼罐头和鲣鱼罐头，不适用于鱼含量少于罐头内容物净重50%（m/m）的特色产品。金枪鱼罐头和鲣鱼罐头由长鳍、黄鳍、黑鳍、大目、蓝鳍、青甘金枪鱼、鲔鱼、小鲔、黑鲔、鲣鱼、智利狐鲣、东方狐鲣、狐鲣等种类鱼肉制备，采用密封容器包装。</w:t>
            </w:r>
          </w:p>
        </w:tc>
      </w:tr>
      <w:tr w14:paraId="2FB43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restart"/>
            <w:vAlign w:val="center"/>
          </w:tcPr>
          <w:p w14:paraId="30DBD9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即食调味品类</w:t>
            </w:r>
          </w:p>
        </w:tc>
        <w:tc>
          <w:tcPr>
            <w:tcW w:w="1351" w:type="pct"/>
            <w:vAlign w:val="center"/>
          </w:tcPr>
          <w:p w14:paraId="7FB41A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GB/T 42463-2023</w:t>
            </w:r>
          </w:p>
          <w:p w14:paraId="565BA51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《鱼露质量通则》</w:t>
            </w:r>
          </w:p>
        </w:tc>
        <w:tc>
          <w:tcPr>
            <w:tcW w:w="3005" w:type="pct"/>
            <w:vAlign w:val="center"/>
          </w:tcPr>
          <w:p w14:paraId="6B53BA2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以新鲜海鱼等为主要原料，添加食用盐，经自然发酵加工而成的水产调味品。</w:t>
            </w:r>
          </w:p>
        </w:tc>
      </w:tr>
      <w:tr w14:paraId="26586E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003F842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3BCD86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SB/T 10324-1999</w:t>
            </w:r>
          </w:p>
          <w:p w14:paraId="657B4BD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《鱼露》</w:t>
            </w:r>
          </w:p>
        </w:tc>
        <w:tc>
          <w:tcPr>
            <w:tcW w:w="3005" w:type="pct"/>
            <w:vAlign w:val="center"/>
          </w:tcPr>
          <w:p w14:paraId="749DD57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以鱼、虾、贝为原料，经酿制而成的液态调味品。</w:t>
            </w:r>
          </w:p>
        </w:tc>
      </w:tr>
      <w:tr w14:paraId="16F74F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0ECEDE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462E6E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T/ZSGTS 097-2022</w:t>
            </w:r>
          </w:p>
          <w:p w14:paraId="147A4C2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《香山之品 鱼露》</w:t>
            </w:r>
          </w:p>
        </w:tc>
        <w:tc>
          <w:tcPr>
            <w:tcW w:w="3005" w:type="pct"/>
            <w:vAlign w:val="center"/>
          </w:tcPr>
          <w:p w14:paraId="5D7C233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以鱼类为原料，在较高盐分下经生物酶解制成的鲜味液体调味品。</w:t>
            </w:r>
          </w:p>
        </w:tc>
      </w:tr>
      <w:tr w14:paraId="7B2AA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642" w:type="pct"/>
            <w:vMerge w:val="continue"/>
            <w:vAlign w:val="center"/>
          </w:tcPr>
          <w:p w14:paraId="42AA64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551F85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T/SHXC 001-2022</w:t>
            </w:r>
          </w:p>
          <w:p w14:paraId="359CB7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《地理标志证明商标产品 深沪金枪鱼松》</w:t>
            </w:r>
          </w:p>
        </w:tc>
        <w:tc>
          <w:tcPr>
            <w:tcW w:w="3005" w:type="pct"/>
            <w:vAlign w:val="center"/>
          </w:tcPr>
          <w:p w14:paraId="240387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文本未公开。</w:t>
            </w:r>
          </w:p>
        </w:tc>
      </w:tr>
      <w:tr w14:paraId="3696B6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7A4A69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53EDA1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CXS 302-2011（2018）</w:t>
            </w:r>
          </w:p>
          <w:p w14:paraId="4E04031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《鱼露标准》</w:t>
            </w:r>
          </w:p>
        </w:tc>
        <w:tc>
          <w:tcPr>
            <w:tcW w:w="3005" w:type="pct"/>
            <w:vAlign w:val="center"/>
          </w:tcPr>
          <w:p w14:paraId="066B6C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适用于鱼与盐及其他辅助发酵的成分混合后经过发酵（通常不少于6个月）而得的鱼露，这类产品是一种透明、不浑浊的液体产品，是用于直接消费的佐料、调味品及食物原料。不适用于通过酸水解生产的鱼露。</w:t>
            </w:r>
          </w:p>
        </w:tc>
      </w:tr>
      <w:tr w14:paraId="149DE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restart"/>
            <w:vAlign w:val="center"/>
          </w:tcPr>
          <w:p w14:paraId="2A9AD5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休闲零食类</w:t>
            </w:r>
          </w:p>
        </w:tc>
        <w:tc>
          <w:tcPr>
            <w:tcW w:w="1351" w:type="pct"/>
            <w:vAlign w:val="center"/>
          </w:tcPr>
          <w:p w14:paraId="20CD46B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Q/SYTP 0002 S-2022</w:t>
            </w:r>
          </w:p>
          <w:p w14:paraId="5DE208E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《金枪鱼早餐肠》</w:t>
            </w:r>
          </w:p>
        </w:tc>
        <w:tc>
          <w:tcPr>
            <w:tcW w:w="3005" w:type="pct"/>
            <w:vAlign w:val="center"/>
          </w:tcPr>
          <w:p w14:paraId="54B00A8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金枪鱼肉、冷冻鱼糜为主料，选择性添加饮用水、猪肉、食用淀粉、植物油、大豆分离蛋白、香辛料、食用盐、黑胡椒为辅料，添加或不添加食品添加剂，经切片、斩拌、灌制、干燥、蒸煮、灭菌、冷却、包装、速冻等加工工艺制成，其中金枪鱼含量不低于30%的产品。</w:t>
            </w:r>
          </w:p>
        </w:tc>
      </w:tr>
      <w:tr w14:paraId="2D175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245C210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43176A0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Q/SDCW 0002S-2023</w:t>
            </w:r>
          </w:p>
          <w:p w14:paraId="777B7C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《脆鱼条》</w:t>
            </w:r>
          </w:p>
        </w:tc>
        <w:tc>
          <w:tcPr>
            <w:tcW w:w="3005" w:type="pct"/>
            <w:vAlign w:val="center"/>
          </w:tcPr>
          <w:p w14:paraId="037BE3D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鲜（冻）鱼肉、小麦粉、食用淀粉、鸡蛋、食用盐、味精、鸡精、胡椒粉为主要原料，添加（或不添加）食品添加剂，经原辅料验收、分切、配料、腌上浆、高温油炸、真空油炸、冷却做成的油炸脆鱼条为主料，以香辛料粉为辅料进行调味、包装制成的即食脆鱼条。</w:t>
            </w:r>
          </w:p>
        </w:tc>
      </w:tr>
      <w:tr w14:paraId="27882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restart"/>
            <w:vAlign w:val="center"/>
          </w:tcPr>
          <w:p w14:paraId="61E54D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组合膳食类</w:t>
            </w:r>
          </w:p>
        </w:tc>
        <w:tc>
          <w:tcPr>
            <w:tcW w:w="1351" w:type="pct"/>
            <w:vAlign w:val="center"/>
          </w:tcPr>
          <w:p w14:paraId="4E9650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T/GDGC 002-2022</w:t>
            </w:r>
          </w:p>
          <w:p w14:paraId="2CCE12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《预包装即食沙拉》</w:t>
            </w:r>
          </w:p>
        </w:tc>
        <w:tc>
          <w:tcPr>
            <w:tcW w:w="3005" w:type="pct"/>
            <w:vAlign w:val="center"/>
          </w:tcPr>
          <w:p w14:paraId="574BD14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新鲜水果或新鲜蔬菜（不适于鲜食的蔬菜除外）的一种或多种为主要原料，经预处理、清洗、去皮或不去皮、分切、消毒和漂洗（或净化）、去除表面水等处理，添加或不添加熟肉制品、熟蛋制品、熟制水产品、玉米、果干等固态可即食的食材，加入沙拉酱包包装成的经冷链存储运输销售的可即食的沙拉。</w:t>
            </w:r>
          </w:p>
        </w:tc>
      </w:tr>
      <w:tr w14:paraId="0876B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642" w:type="pct"/>
            <w:vMerge w:val="continue"/>
            <w:vAlign w:val="center"/>
          </w:tcPr>
          <w:p w14:paraId="42496A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5359AC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Q/TLS 0002S-2022</w:t>
            </w:r>
          </w:p>
          <w:p w14:paraId="40D182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《即食饭团、寿司、三明治》</w:t>
            </w:r>
          </w:p>
        </w:tc>
        <w:tc>
          <w:tcPr>
            <w:tcW w:w="3005" w:type="pct"/>
            <w:vAlign w:val="center"/>
          </w:tcPr>
          <w:p w14:paraId="59813C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饭团：以熟制咸米饭为主要原料，以调味料、蔬菜、水产品罐头（鳗鱼、金枪鱼、三文鱼、虾仁）、蛋制品、熟肉制品、海带、海苔中的几种为辅料，经原辅材料处理、消毒、切配、调制、成型（制团）、包装、金属探测加工而成的即食食品。</w:t>
            </w:r>
          </w:p>
          <w:p w14:paraId="3EAE3D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寿司：以熟制酸米饭为主要原料，以水产品罐头（鳗鱼、金枪鱼、三文鱼、虾仁、蟹肉棒、鱼籽罐头）、蔬菜、蛋制品、调味料、海苔、裙带菜中几种为辅料，经原辅材料处理、消毒、切配、调制、成型（制卷）、切块或不切块、包装、金属探测加工而成的即食食品。</w:t>
            </w:r>
          </w:p>
        </w:tc>
      </w:tr>
      <w:tr w14:paraId="342517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restart"/>
            <w:vAlign w:val="center"/>
          </w:tcPr>
          <w:p w14:paraId="2DE3667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营养保健类</w:t>
            </w:r>
          </w:p>
        </w:tc>
        <w:tc>
          <w:tcPr>
            <w:tcW w:w="1351" w:type="pct"/>
            <w:vAlign w:val="center"/>
          </w:tcPr>
          <w:p w14:paraId="679FC0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SC/T 3503-2022</w:t>
            </w:r>
          </w:p>
          <w:p w14:paraId="34D1EBC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《多烯鱼油制品》</w:t>
            </w:r>
          </w:p>
        </w:tc>
        <w:tc>
          <w:tcPr>
            <w:tcW w:w="3005" w:type="pct"/>
            <w:vAlign w:val="center"/>
          </w:tcPr>
          <w:p w14:paraId="2A41A8C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以鱼油或鱼油提取物为主要原料，经加工制成的富含多烯脂肪酸（碘大于140g/100g油、二十碳五烯酸&lt;EPA&gt;与二十二碳六烯酸&lt;DHA&gt;的总量大于28%）的产品。</w:t>
            </w:r>
          </w:p>
        </w:tc>
      </w:tr>
      <w:tr w14:paraId="7EEF3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pct"/>
            <w:vMerge w:val="continue"/>
            <w:vAlign w:val="center"/>
          </w:tcPr>
          <w:p w14:paraId="1AF49D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p>
        </w:tc>
        <w:tc>
          <w:tcPr>
            <w:tcW w:w="1351" w:type="pct"/>
            <w:vAlign w:val="center"/>
          </w:tcPr>
          <w:p w14:paraId="253A7B6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T/CPPC 1085-2024</w:t>
            </w:r>
          </w:p>
          <w:p w14:paraId="4F0404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《金枪鱼肽》</w:t>
            </w:r>
          </w:p>
        </w:tc>
        <w:tc>
          <w:tcPr>
            <w:tcW w:w="3005" w:type="pct"/>
            <w:vAlign w:val="center"/>
          </w:tcPr>
          <w:p w14:paraId="5C4B24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以硬骨鱼纲鲭形目鲭亚目金枪鱼亚科各属洄游性鱼类为主要原料，经酶解、过滤、浓缩、杀菌、干燥等工序制成的金枪鱼肽。</w:t>
            </w:r>
          </w:p>
        </w:tc>
      </w:tr>
    </w:tbl>
    <w:p w14:paraId="08AAAE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562" w:firstLineChars="200"/>
        <w:jc w:val="both"/>
        <w:textAlignment w:val="auto"/>
        <w:rPr>
          <w:rFonts w:hint="default"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3.产业发展调研</w:t>
      </w:r>
    </w:p>
    <w:p w14:paraId="1D4177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t>金枪鱼产业作为综合性产业链，在全球发展势头强劲。我国金枪鱼进出口贸易呈增长态势</w:t>
      </w:r>
      <w:r>
        <w:rPr>
          <w:rFonts w:hint="eastAsia" w:ascii="宋体" w:hAnsi="宋体" w:eastAsia="宋体" w:cs="宋体"/>
          <w:b w:val="0"/>
          <w:bCs w:val="0"/>
          <w:sz w:val="28"/>
          <w:szCs w:val="28"/>
          <w:lang w:val="en-US" w:eastAsia="zh-CN"/>
        </w:rPr>
        <w:t xml:space="preserve">，进口方面，2024年全年累计进口14.51万吨，较2023年增加314%，总进口额达2.61亿美元，同比增长104%；出口方面，2024年我国金枪鱼出口量为28.44万吨，出口额达14.05 亿美元，罐头类等产品占出口近七成。 </w:t>
      </w:r>
    </w:p>
    <w:p w14:paraId="10ECC4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冻煮类产品作为金枪鱼加工中的关键半成品，其进出口与罐头等终端产品产业紧密相连。随着国内预制菜行业的迅猛发展，以及罐头加工企业对稳定、优质原料的迫切需求，冻煮类金枪鱼进口规模持续扩大——2024年1月进口量达5.24万吨，同比增长21%。这一增长态势的背后，是国内需求扩张速度快于本土供给增长，进口由此成为补充优质原料缺口的重要方式。在全球产业链中，我国同时承担着原料供应角色：依托自身的成本优势以及逐步完善的产业配套体系，通过向泰国等全球罐头加工大国供应优质原料，在国际市场上占据了一定份额。</w:t>
      </w:r>
    </w:p>
    <w:p w14:paraId="34DE74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t>冻煮类金枪鱼产业的蓬勃发展，离不开众多企业的深耕与创新。浙江大洋世家</w:t>
      </w:r>
      <w:r>
        <w:rPr>
          <w:rFonts w:hint="eastAsia" w:ascii="宋体" w:hAnsi="宋体" w:eastAsia="宋体" w:cs="宋体"/>
          <w:b w:val="0"/>
          <w:bCs w:val="0"/>
          <w:sz w:val="28"/>
          <w:szCs w:val="28"/>
          <w:lang w:val="en-US" w:eastAsia="zh-CN"/>
        </w:rPr>
        <w:t>（浙江）</w:t>
      </w:r>
      <w:r>
        <w:rPr>
          <w:rFonts w:hint="default" w:ascii="宋体" w:hAnsi="宋体" w:eastAsia="宋体" w:cs="宋体"/>
          <w:b w:val="0"/>
          <w:bCs w:val="0"/>
          <w:sz w:val="28"/>
          <w:szCs w:val="28"/>
          <w:lang w:val="en-US" w:eastAsia="zh-CN"/>
        </w:rPr>
        <w:t>股份有限公司</w:t>
      </w:r>
      <w:r>
        <w:rPr>
          <w:rFonts w:hint="eastAsia" w:ascii="宋体" w:hAnsi="宋体" w:eastAsia="宋体" w:cs="宋体"/>
          <w:b w:val="0"/>
          <w:bCs w:val="0"/>
          <w:sz w:val="28"/>
          <w:szCs w:val="28"/>
          <w:lang w:val="en-US" w:eastAsia="zh-CN"/>
        </w:rPr>
        <w:t>成立于2009年，</w:t>
      </w:r>
      <w:r>
        <w:rPr>
          <w:rFonts w:hint="default" w:ascii="宋体" w:hAnsi="宋体" w:eastAsia="宋体" w:cs="宋体"/>
          <w:b w:val="0"/>
          <w:bCs w:val="0"/>
          <w:sz w:val="28"/>
          <w:szCs w:val="28"/>
          <w:lang w:val="en-US" w:eastAsia="zh-CN"/>
        </w:rPr>
        <w:t>是农业产业化国家重点龙头企业</w:t>
      </w:r>
      <w:r>
        <w:rPr>
          <w:rFonts w:hint="eastAsia" w:ascii="宋体" w:hAnsi="宋体" w:eastAsia="宋体" w:cs="宋体"/>
          <w:b w:val="0"/>
          <w:bCs w:val="0"/>
          <w:sz w:val="28"/>
          <w:szCs w:val="28"/>
          <w:lang w:val="en-US" w:eastAsia="zh-CN"/>
        </w:rPr>
        <w:t>。</w:t>
      </w:r>
      <w:r>
        <w:rPr>
          <w:rFonts w:hint="default" w:ascii="宋体" w:hAnsi="宋体" w:eastAsia="宋体" w:cs="宋体"/>
          <w:b w:val="0"/>
          <w:bCs w:val="0"/>
          <w:sz w:val="28"/>
          <w:szCs w:val="28"/>
          <w:lang w:val="en-US" w:eastAsia="zh-CN"/>
        </w:rPr>
        <w:t>公司贯通远洋捕捞到加工配送的全产业链，在宁波、杭州、舟山等地设有加工基地。其中，舟山基地是全国最大的金枪鱼精深加工基地</w:t>
      </w:r>
      <w:r>
        <w:rPr>
          <w:rFonts w:hint="eastAsia" w:ascii="宋体" w:hAnsi="宋体" w:eastAsia="宋体" w:cs="宋体"/>
          <w:b w:val="0"/>
          <w:bCs w:val="0"/>
          <w:sz w:val="28"/>
          <w:szCs w:val="28"/>
          <w:lang w:val="en-US" w:eastAsia="zh-CN"/>
        </w:rPr>
        <w:t>。大洋世家（舟山）优品有限公司成立于2018年，总用地面积287.1亩，</w:t>
      </w:r>
      <w:r>
        <w:rPr>
          <w:rFonts w:hint="default" w:ascii="宋体" w:hAnsi="宋体" w:eastAsia="宋体" w:cs="宋体"/>
          <w:b w:val="0"/>
          <w:bCs w:val="0"/>
          <w:sz w:val="28"/>
          <w:szCs w:val="28"/>
          <w:lang w:val="en-US" w:eastAsia="zh-CN"/>
        </w:rPr>
        <w:t>配备金枪鱼鱼柳、金枪鱼系列罐头、综合食品加工和生物制品4条自动化生产流水线，</w:t>
      </w:r>
      <w:r>
        <w:rPr>
          <w:rFonts w:hint="eastAsia" w:ascii="宋体" w:hAnsi="宋体" w:eastAsia="宋体" w:cs="宋体"/>
          <w:b w:val="0"/>
          <w:bCs w:val="0"/>
          <w:sz w:val="28"/>
          <w:szCs w:val="28"/>
          <w:lang w:val="en-US" w:eastAsia="zh-CN"/>
        </w:rPr>
        <w:t>配备</w:t>
      </w:r>
      <w:r>
        <w:rPr>
          <w:rFonts w:hint="default" w:ascii="宋体" w:hAnsi="宋体" w:eastAsia="宋体" w:cs="宋体"/>
          <w:b w:val="0"/>
          <w:bCs w:val="0"/>
          <w:sz w:val="28"/>
          <w:szCs w:val="28"/>
          <w:lang w:val="en-US" w:eastAsia="zh-CN"/>
        </w:rPr>
        <w:t>280m码头1座; -25</w:t>
      </w:r>
      <w:r>
        <w:rPr>
          <w:rFonts w:hint="eastAsia" w:ascii="宋体" w:hAnsi="宋体" w:eastAsia="宋体" w:cs="宋体"/>
          <w:b w:val="0"/>
          <w:bCs w:val="0"/>
          <w:sz w:val="28"/>
          <w:szCs w:val="28"/>
          <w:lang w:val="en-US" w:eastAsia="zh-CN"/>
        </w:rPr>
        <w:t>℃</w:t>
      </w:r>
      <w:r>
        <w:rPr>
          <w:rFonts w:hint="default" w:ascii="宋体" w:hAnsi="宋体" w:eastAsia="宋体" w:cs="宋体"/>
          <w:b w:val="0"/>
          <w:bCs w:val="0"/>
          <w:sz w:val="28"/>
          <w:szCs w:val="28"/>
          <w:lang w:val="en-US" w:eastAsia="zh-CN"/>
        </w:rPr>
        <w:t>全自动货架原料冷库、-25</w:t>
      </w:r>
      <w:r>
        <w:rPr>
          <w:rFonts w:hint="eastAsia" w:ascii="宋体" w:hAnsi="宋体" w:eastAsia="宋体" w:cs="宋体"/>
          <w:b w:val="0"/>
          <w:bCs w:val="0"/>
          <w:sz w:val="28"/>
          <w:szCs w:val="28"/>
          <w:lang w:val="en-US" w:eastAsia="zh-CN"/>
        </w:rPr>
        <w:t>℃</w:t>
      </w:r>
      <w:r>
        <w:rPr>
          <w:rFonts w:hint="default" w:ascii="宋体" w:hAnsi="宋体" w:eastAsia="宋体" w:cs="宋体"/>
          <w:b w:val="0"/>
          <w:bCs w:val="0"/>
          <w:sz w:val="28"/>
          <w:szCs w:val="28"/>
          <w:lang w:val="en-US" w:eastAsia="zh-CN"/>
        </w:rPr>
        <w:t>全自动货架成品冷库、-35</w:t>
      </w:r>
      <w:r>
        <w:rPr>
          <w:rFonts w:hint="eastAsia" w:ascii="宋体" w:hAnsi="宋体" w:eastAsia="宋体" w:cs="宋体"/>
          <w:b w:val="0"/>
          <w:bCs w:val="0"/>
          <w:sz w:val="28"/>
          <w:szCs w:val="28"/>
          <w:lang w:val="en-US" w:eastAsia="zh-CN"/>
        </w:rPr>
        <w:t>℃</w:t>
      </w:r>
      <w:r>
        <w:rPr>
          <w:rFonts w:hint="default" w:ascii="宋体" w:hAnsi="宋体" w:eastAsia="宋体" w:cs="宋体"/>
          <w:b w:val="0"/>
          <w:bCs w:val="0"/>
          <w:sz w:val="28"/>
          <w:szCs w:val="28"/>
          <w:lang w:val="en-US" w:eastAsia="zh-CN"/>
        </w:rPr>
        <w:t>低温冷库和-55</w:t>
      </w:r>
      <w:r>
        <w:rPr>
          <w:rFonts w:hint="eastAsia" w:ascii="宋体" w:hAnsi="宋体" w:eastAsia="宋体" w:cs="宋体"/>
          <w:b w:val="0"/>
          <w:bCs w:val="0"/>
          <w:sz w:val="28"/>
          <w:szCs w:val="28"/>
          <w:lang w:val="en-US" w:eastAsia="zh-CN"/>
        </w:rPr>
        <w:t>℃</w:t>
      </w:r>
      <w:r>
        <w:rPr>
          <w:rFonts w:hint="default" w:ascii="宋体" w:hAnsi="宋体" w:eastAsia="宋体" w:cs="宋体"/>
          <w:b w:val="0"/>
          <w:bCs w:val="0"/>
          <w:sz w:val="28"/>
          <w:szCs w:val="28"/>
          <w:lang w:val="en-US" w:eastAsia="zh-CN"/>
        </w:rPr>
        <w:t>超低温冷库共计4个</w:t>
      </w:r>
      <w:r>
        <w:rPr>
          <w:rFonts w:hint="eastAsia" w:ascii="宋体" w:hAnsi="宋体" w:eastAsia="宋体" w:cs="宋体"/>
          <w:b w:val="0"/>
          <w:bCs w:val="0"/>
          <w:sz w:val="28"/>
          <w:szCs w:val="28"/>
          <w:lang w:val="en-US" w:eastAsia="zh-CN"/>
        </w:rPr>
        <w:t>，构建了全程可追溯体系，集聚冷藏物流、综合检测、污水处理和金枪鱼文化展示馆等配套设施，年耗用金枪鱼原料约10万吨。</w:t>
      </w:r>
    </w:p>
    <w:p w14:paraId="1639932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浙江兴业集团有限公司创立于1994年，是一家以水产品精深加工贸易为主导，集远洋捕捞、海洋生物制造、船舶修造、绳网制造等产业为一体的大型国有控股中外合资企业。公司主要从事海洋食品精深加工，占地面积36万平方米，拥有8个现代化水产加工厂、2个海洋生物制品加工厂、2座万吨级大型冷库及现代化配套设施。</w:t>
      </w:r>
    </w:p>
    <w:p w14:paraId="46ABBC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浙江融创食品工业有限公司成立于2012年，是一家专业从事金枪鱼产品研发、加工和销售的中外合资企业。公司总用地面积3.3万平方米，建有具国际化水平的金枪鱼鱼柳加工生产线、罐头生产线，软包食品装生产线以及8000吨级冷藏库和200吨级速冻库，采用了智能化的供应链管理、生产管理信息化系统，年处理金枪鱼原料约3万吨。</w:t>
      </w:r>
    </w:p>
    <w:p w14:paraId="17CE0E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由这几家代表性企业起草团体标准，有助于规范国内冻煮类金枪鱼产品生产、提升行业品质一致性，为产业升级提供技术指引，同时增强我国在全球产业链中的竞争力。</w:t>
      </w:r>
    </w:p>
    <w:p w14:paraId="7F28BF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kern w:val="2"/>
          <w:sz w:val="28"/>
          <w:szCs w:val="28"/>
          <w:lang w:val="en-US" w:eastAsia="zh-CN" w:bidi="ar-SA"/>
        </w:rPr>
        <w:t>二、</w:t>
      </w:r>
      <w:r>
        <w:rPr>
          <w:rFonts w:hint="eastAsia" w:ascii="方正小标宋简体" w:hAnsi="方正小标宋简体" w:eastAsia="方正小标宋简体" w:cs="方正小标宋简体"/>
          <w:sz w:val="28"/>
          <w:szCs w:val="28"/>
        </w:rPr>
        <w:t>标准编制原则和</w:t>
      </w:r>
      <w:r>
        <w:rPr>
          <w:rFonts w:hint="eastAsia" w:ascii="方正小标宋简体" w:hAnsi="方正小标宋简体" w:eastAsia="方正小标宋简体" w:cs="方正小标宋简体"/>
          <w:sz w:val="28"/>
          <w:szCs w:val="28"/>
          <w:lang w:val="en-US" w:eastAsia="zh-CN"/>
        </w:rPr>
        <w:t>主要内容及确定依据</w:t>
      </w:r>
    </w:p>
    <w:p w14:paraId="1F977412">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（一）</w:t>
      </w:r>
      <w:r>
        <w:rPr>
          <w:rFonts w:hint="eastAsia" w:ascii="宋体" w:hAnsi="宋体" w:eastAsia="宋体" w:cs="宋体"/>
          <w:b/>
          <w:bCs/>
          <w:sz w:val="28"/>
          <w:szCs w:val="28"/>
          <w:lang w:val="en-US" w:eastAsia="zh-CN"/>
        </w:rPr>
        <w:t>标准编制原则</w:t>
      </w:r>
    </w:p>
    <w:p w14:paraId="4D8ED3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1.</w:t>
      </w:r>
      <w:r>
        <w:rPr>
          <w:rFonts w:hint="eastAsia" w:ascii="宋体" w:hAnsi="宋体" w:eastAsia="宋体" w:cs="宋体"/>
          <w:b/>
          <w:bCs/>
          <w:sz w:val="28"/>
          <w:szCs w:val="28"/>
          <w:lang w:val="en-US" w:eastAsia="zh-CN"/>
        </w:rPr>
        <w:t>适用性原则</w:t>
      </w:r>
    </w:p>
    <w:p w14:paraId="752785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标准的主要技术内容，由大洋世家（浙江）股份公司、大洋世家（舟山）优品有限公司、浙江兴业集团有限公司、浙江融创食品工业有限公司等单位在冻煮金枪鱼肉（鱼柳）生产实践过程中形成的相关经验和技术成果总结提炼而来，具备普适性和可操作性。</w:t>
      </w:r>
    </w:p>
    <w:p w14:paraId="0EFA471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2.</w:t>
      </w:r>
      <w:r>
        <w:rPr>
          <w:rFonts w:hint="eastAsia" w:ascii="宋体" w:hAnsi="宋体" w:eastAsia="宋体" w:cs="宋体"/>
          <w:b/>
          <w:bCs/>
          <w:sz w:val="28"/>
          <w:szCs w:val="28"/>
          <w:lang w:val="en-US" w:eastAsia="zh-CN"/>
        </w:rPr>
        <w:t>科学性原则</w:t>
      </w:r>
    </w:p>
    <w:p w14:paraId="62CC5F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编写工作组</w:t>
      </w:r>
      <w:r>
        <w:rPr>
          <w:rFonts w:hint="default" w:ascii="宋体" w:hAnsi="宋体" w:eastAsia="宋体" w:cs="宋体"/>
          <w:b w:val="0"/>
          <w:bCs w:val="0"/>
          <w:sz w:val="28"/>
          <w:szCs w:val="28"/>
          <w:lang w:val="en-US" w:eastAsia="zh-CN"/>
        </w:rPr>
        <w:t>对</w:t>
      </w:r>
      <w:r>
        <w:rPr>
          <w:rFonts w:hint="eastAsia" w:ascii="宋体" w:hAnsi="宋体" w:eastAsia="宋体" w:cs="宋体"/>
          <w:b w:val="0"/>
          <w:bCs w:val="0"/>
          <w:sz w:val="28"/>
          <w:szCs w:val="28"/>
          <w:lang w:val="en-US" w:eastAsia="zh-CN"/>
        </w:rPr>
        <w:t>行业</w:t>
      </w:r>
      <w:r>
        <w:rPr>
          <w:rFonts w:hint="default" w:ascii="宋体" w:hAnsi="宋体" w:eastAsia="宋体" w:cs="宋体"/>
          <w:b w:val="0"/>
          <w:bCs w:val="0"/>
          <w:sz w:val="28"/>
          <w:szCs w:val="28"/>
          <w:lang w:val="en-US" w:eastAsia="zh-CN"/>
        </w:rPr>
        <w:t>现状及需求进行了全面</w:t>
      </w:r>
      <w:r>
        <w:rPr>
          <w:rFonts w:hint="eastAsia" w:ascii="宋体" w:hAnsi="宋体" w:eastAsia="宋体" w:cs="宋体"/>
          <w:b w:val="0"/>
          <w:bCs w:val="0"/>
          <w:sz w:val="28"/>
          <w:szCs w:val="28"/>
          <w:lang w:val="en-US" w:eastAsia="zh-CN"/>
        </w:rPr>
        <w:t>调查</w:t>
      </w:r>
      <w:r>
        <w:rPr>
          <w:rFonts w:hint="default" w:ascii="宋体" w:hAnsi="宋体" w:eastAsia="宋体" w:cs="宋体"/>
          <w:b w:val="0"/>
          <w:bCs w:val="0"/>
          <w:sz w:val="28"/>
          <w:szCs w:val="28"/>
          <w:lang w:val="en-US" w:eastAsia="zh-CN"/>
        </w:rPr>
        <w:t>，基</w:t>
      </w:r>
      <w:r>
        <w:rPr>
          <w:rFonts w:hint="eastAsia" w:ascii="宋体" w:hAnsi="宋体" w:eastAsia="宋体" w:cs="宋体"/>
          <w:b w:val="0"/>
          <w:bCs w:val="0"/>
          <w:sz w:val="28"/>
          <w:szCs w:val="28"/>
          <w:lang w:val="en-US" w:eastAsia="zh-CN"/>
        </w:rPr>
        <w:t>于现有生产实践情况</w:t>
      </w:r>
      <w:r>
        <w:rPr>
          <w:rFonts w:hint="default" w:ascii="宋体" w:hAnsi="宋体" w:eastAsia="宋体" w:cs="宋体"/>
          <w:b w:val="0"/>
          <w:bCs w:val="0"/>
          <w:sz w:val="28"/>
          <w:szCs w:val="28"/>
          <w:lang w:val="en-US" w:eastAsia="zh-CN"/>
        </w:rPr>
        <w:t>，充分</w:t>
      </w:r>
      <w:r>
        <w:rPr>
          <w:rFonts w:hint="eastAsia" w:ascii="宋体" w:hAnsi="宋体" w:eastAsia="宋体" w:cs="宋体"/>
          <w:b w:val="0"/>
          <w:bCs w:val="0"/>
          <w:sz w:val="28"/>
          <w:szCs w:val="28"/>
          <w:lang w:val="en-US" w:eastAsia="zh-CN"/>
        </w:rPr>
        <w:t>考虑产业未来</w:t>
      </w:r>
      <w:r>
        <w:rPr>
          <w:rFonts w:hint="default" w:ascii="宋体" w:hAnsi="宋体" w:eastAsia="宋体" w:cs="宋体"/>
          <w:b w:val="0"/>
          <w:bCs w:val="0"/>
          <w:sz w:val="28"/>
          <w:szCs w:val="28"/>
          <w:lang w:val="en-US" w:eastAsia="zh-CN"/>
        </w:rPr>
        <w:t>发展趋势，对标准内容持续优化，使其具备合理性、前瞻性和指导性。</w:t>
      </w:r>
    </w:p>
    <w:p w14:paraId="2EEDAC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560" w:leftChars="0" w:firstLine="0" w:firstLineChars="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3.</w:t>
      </w:r>
      <w:r>
        <w:rPr>
          <w:rFonts w:hint="eastAsia" w:ascii="宋体" w:hAnsi="宋体" w:eastAsia="宋体" w:cs="宋体"/>
          <w:b/>
          <w:bCs/>
          <w:sz w:val="28"/>
          <w:szCs w:val="28"/>
          <w:lang w:val="en-US" w:eastAsia="zh-CN"/>
        </w:rPr>
        <w:t>协调性原则</w:t>
      </w:r>
    </w:p>
    <w:p w14:paraId="4FA730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w:t>
      </w:r>
      <w:r>
        <w:rPr>
          <w:rFonts w:hint="default" w:ascii="宋体" w:hAnsi="宋体" w:eastAsia="宋体" w:cs="宋体"/>
          <w:b w:val="0"/>
          <w:bCs w:val="0"/>
          <w:sz w:val="28"/>
          <w:szCs w:val="28"/>
          <w:lang w:val="en-US" w:eastAsia="zh-CN"/>
        </w:rPr>
        <w:t>标准在编制过程中，严格遵守相关法律法规</w:t>
      </w:r>
      <w:r>
        <w:rPr>
          <w:rFonts w:hint="eastAsia" w:ascii="宋体" w:hAnsi="宋体" w:eastAsia="宋体" w:cs="宋体"/>
          <w:b w:val="0"/>
          <w:bCs w:val="0"/>
          <w:sz w:val="28"/>
          <w:szCs w:val="28"/>
          <w:lang w:val="en-US" w:eastAsia="zh-CN"/>
        </w:rPr>
        <w:t>、强制性国家标准和标准编写通用基础标准等</w:t>
      </w:r>
      <w:r>
        <w:rPr>
          <w:rFonts w:hint="default" w:ascii="宋体" w:hAnsi="宋体" w:eastAsia="宋体" w:cs="宋体"/>
          <w:b w:val="0"/>
          <w:bCs w:val="0"/>
          <w:sz w:val="28"/>
          <w:szCs w:val="28"/>
          <w:lang w:val="en-US" w:eastAsia="zh-CN"/>
        </w:rPr>
        <w:t>要求</w:t>
      </w:r>
      <w:r>
        <w:rPr>
          <w:rFonts w:hint="eastAsia" w:ascii="宋体" w:hAnsi="宋体" w:eastAsia="宋体" w:cs="宋体"/>
          <w:b w:val="0"/>
          <w:bCs w:val="0"/>
          <w:sz w:val="28"/>
          <w:szCs w:val="28"/>
          <w:lang w:val="en-US" w:eastAsia="zh-CN"/>
        </w:rPr>
        <w:t>，充分考虑与相关标准的协调性和本标准内容间的协调性。</w:t>
      </w:r>
    </w:p>
    <w:p w14:paraId="08CA431B">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（二）</w:t>
      </w:r>
      <w:r>
        <w:rPr>
          <w:rFonts w:hint="eastAsia" w:ascii="宋体" w:hAnsi="宋体" w:eastAsia="宋体" w:cs="宋体"/>
          <w:b/>
          <w:bCs/>
          <w:sz w:val="28"/>
          <w:szCs w:val="28"/>
          <w:lang w:val="en-US" w:eastAsia="zh-CN"/>
        </w:rPr>
        <w:t>标准适用范围</w:t>
      </w:r>
    </w:p>
    <w:p w14:paraId="310AF3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b/>
          <w:bCs/>
          <w:sz w:val="28"/>
          <w:szCs w:val="28"/>
          <w:lang w:val="en-US" w:eastAsia="zh-CN"/>
        </w:rPr>
      </w:pPr>
      <w:r>
        <w:rPr>
          <w:rFonts w:hint="eastAsia" w:ascii="宋体" w:hAnsi="宋体" w:eastAsia="宋体" w:cs="宋体"/>
          <w:b w:val="0"/>
          <w:bCs w:val="0"/>
          <w:sz w:val="28"/>
          <w:szCs w:val="28"/>
          <w:lang w:val="en-US" w:eastAsia="zh-CN"/>
        </w:rPr>
        <w:t>本</w:t>
      </w:r>
      <w:r>
        <w:rPr>
          <w:rFonts w:hint="default" w:ascii="宋体" w:hAnsi="宋体" w:eastAsia="宋体" w:cs="宋体"/>
          <w:b w:val="0"/>
          <w:bCs w:val="0"/>
          <w:sz w:val="28"/>
          <w:szCs w:val="28"/>
          <w:lang w:val="en-US" w:eastAsia="zh-CN"/>
        </w:rPr>
        <w:t>标</w:t>
      </w:r>
      <w:r>
        <w:rPr>
          <w:rFonts w:hint="eastAsia" w:ascii="宋体" w:hAnsi="宋体" w:eastAsia="宋体" w:cs="宋体"/>
          <w:b w:val="0"/>
          <w:bCs w:val="0"/>
          <w:sz w:val="28"/>
          <w:szCs w:val="28"/>
          <w:lang w:val="en-US" w:eastAsia="zh-CN"/>
        </w:rPr>
        <w:t>准适用于冻煮金枪鱼肉产品。</w:t>
      </w:r>
    </w:p>
    <w:p w14:paraId="52CE07F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（三）</w:t>
      </w:r>
      <w:r>
        <w:rPr>
          <w:rFonts w:hint="eastAsia" w:ascii="宋体" w:hAnsi="宋体" w:eastAsia="宋体" w:cs="宋体"/>
          <w:b/>
          <w:bCs/>
          <w:sz w:val="28"/>
          <w:szCs w:val="28"/>
          <w:lang w:val="en-US" w:eastAsia="zh-CN"/>
        </w:rPr>
        <w:t>标准编制依据</w:t>
      </w:r>
    </w:p>
    <w:p w14:paraId="48F127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0"/>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1.标准名称的确定</w:t>
      </w:r>
    </w:p>
    <w:p w14:paraId="1FADC1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default"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原先拟定标准名称为《蒸煮鱼柳》，为进一步界定产品原料范围、工艺特殊性和产品状态，以便与相关产品进行区分，现更名为《冻煮金枪鱼肉》。鱼柳通常指以单一鱼类去骨鱼肉制成的切片制品，部分市售以“鱼柳”命名的产品如“速冻鱼柳”、“油炸鱼柳”等，在生产工艺中可能涉及调制或调理工艺。本标准适用的产品以野生海捕金枪鱼为原料，在生产工艺中含蒸煮（65℃，未熟制）、速冻等核心工艺，不含调制或调理。</w:t>
      </w:r>
    </w:p>
    <w:p w14:paraId="54989F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2.</w:t>
      </w:r>
      <w:r>
        <w:rPr>
          <w:rFonts w:hint="eastAsia" w:ascii="宋体" w:hAnsi="宋体" w:eastAsia="宋体" w:cs="宋体"/>
          <w:b/>
          <w:bCs/>
          <w:sz w:val="28"/>
          <w:szCs w:val="28"/>
          <w:lang w:val="en-US" w:eastAsia="zh-CN"/>
        </w:rPr>
        <w:t>标准框架的确定</w:t>
      </w:r>
    </w:p>
    <w:p w14:paraId="2B365C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基于GB/T 1.1—2020《标准化工作导则 第1部分：标准化文件的结构和起草规则》、GB/T 20001.10—2014《标准编写规则 第10部分：产品标准》等相关要求，确定标准框架，见图2。</w:t>
      </w:r>
    </w:p>
    <w:p w14:paraId="735877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object>
          <v:shape id="_x0000_i1026" o:spt="75" type="#_x0000_t75" style="height:197.7pt;width:295.9pt;" o:ole="t" filled="f" o:preferrelative="t" stroked="f" coordsize="21600,21600">
            <v:path/>
            <v:fill on="f" focussize="0,0"/>
            <v:stroke on="f"/>
            <v:imagedata r:id="rId7" o:title=""/>
            <o:lock v:ext="edit" aspectratio="f"/>
            <w10:wrap type="none"/>
            <w10:anchorlock/>
          </v:shape>
          <o:OLEObject Type="Embed" ProgID="Visio.Drawing.15" ShapeID="_x0000_i1026" DrawAspect="Content" ObjectID="_1468075726" r:id="rId6">
            <o:LockedField>false</o:LockedField>
          </o:OLEObject>
        </w:object>
      </w:r>
    </w:p>
    <w:p w14:paraId="03CA5804">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40" w:lineRule="auto"/>
        <w:ind w:firstLine="0" w:firstLineChars="0"/>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图2 标准框架</w:t>
      </w:r>
    </w:p>
    <w:p w14:paraId="297030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3.</w:t>
      </w:r>
      <w:r>
        <w:rPr>
          <w:rFonts w:hint="eastAsia" w:ascii="宋体" w:hAnsi="宋体" w:eastAsia="宋体" w:cs="宋体"/>
          <w:b/>
          <w:bCs/>
          <w:sz w:val="28"/>
          <w:szCs w:val="28"/>
          <w:lang w:val="en-US" w:eastAsia="zh-CN"/>
        </w:rPr>
        <w:t>标准主要内容的确定</w:t>
      </w:r>
    </w:p>
    <w:p w14:paraId="1413C5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本标准的主要内容包括：术语和定义、原料要求、技术要求、检验规则、标识、包装、运输及贮存、保质期。</w:t>
      </w:r>
    </w:p>
    <w:p w14:paraId="60AB70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——第3章“术语和定义”，给出了冻煮金枪鱼肉产品的定义，明确了产品的主要原料、加工工艺和特性；</w:t>
      </w:r>
    </w:p>
    <w:p w14:paraId="398A34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——第4章“原料要求”，规定了原料鱼的品种、感官要求、理化指标和污染物限量，给出了试验方法，明确了生产用水及其他辅料的要求；</w:t>
      </w:r>
    </w:p>
    <w:p w14:paraId="569B80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——第5章“技术要求”，规定了产品的感官要求、理化指标、污染物限量和净含量等内容，给出了试验方法；</w:t>
      </w:r>
    </w:p>
    <w:p w14:paraId="5DAC3C2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——第6章“检验规则”，规定了产品出厂检验和型式检验的检验项目、组批、抽样方法及判定依据；</w:t>
      </w:r>
    </w:p>
    <w:p w14:paraId="0D7A1A2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——第7章“标识、包装、运输及贮存”，明确了产品的标识、包装、运输及贮存等要求；</w:t>
      </w:r>
    </w:p>
    <w:p w14:paraId="72170D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——第8章“保质期”，明确了产品在符合本标准要求情况下的保质期。</w:t>
      </w:r>
    </w:p>
    <w:p w14:paraId="644D04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主要内容确定依据见表2。</w:t>
      </w:r>
    </w:p>
    <w:p w14:paraId="7D862C26">
      <w:pPr>
        <w:pStyle w:val="3"/>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sz w:val="21"/>
          <w:szCs w:val="21"/>
          <w:lang w:val="en-US" w:eastAsia="zh-CN"/>
        </w:rPr>
      </w:pPr>
      <w:r>
        <w:rPr>
          <w:sz w:val="21"/>
          <w:szCs w:val="21"/>
        </w:rPr>
        <w:t xml:space="preserve">表 </w:t>
      </w:r>
      <w:r>
        <w:rPr>
          <w:sz w:val="21"/>
          <w:szCs w:val="21"/>
        </w:rPr>
        <w:fldChar w:fldCharType="begin"/>
      </w:r>
      <w:r>
        <w:rPr>
          <w:sz w:val="21"/>
          <w:szCs w:val="21"/>
        </w:rPr>
        <w:instrText xml:space="preserve"> SEQ 表 \* ARABIC </w:instrText>
      </w:r>
      <w:r>
        <w:rPr>
          <w:sz w:val="21"/>
          <w:szCs w:val="21"/>
        </w:rPr>
        <w:fldChar w:fldCharType="separate"/>
      </w:r>
      <w:r>
        <w:rPr>
          <w:sz w:val="21"/>
          <w:szCs w:val="21"/>
        </w:rPr>
        <w:t>2</w:t>
      </w:r>
      <w:r>
        <w:rPr>
          <w:sz w:val="21"/>
          <w:szCs w:val="21"/>
        </w:rPr>
        <w:fldChar w:fldCharType="end"/>
      </w:r>
      <w:r>
        <w:rPr>
          <w:rFonts w:hint="eastAsia"/>
          <w:sz w:val="21"/>
          <w:szCs w:val="21"/>
          <w:lang w:val="en-US" w:eastAsia="zh-CN"/>
        </w:rPr>
        <w:t>标准主要内容确定依据</w:t>
      </w:r>
    </w:p>
    <w:tbl>
      <w:tblPr>
        <w:tblStyle w:val="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171"/>
        <w:gridCol w:w="5082"/>
      </w:tblGrid>
      <w:tr w14:paraId="240C3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017" w:type="pct"/>
            <w:gridSpan w:val="2"/>
            <w:tcBorders>
              <w:bottom w:val="single" w:color="auto" w:sz="8" w:space="0"/>
            </w:tcBorders>
            <w:vAlign w:val="center"/>
          </w:tcPr>
          <w:p w14:paraId="44BEB1F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章条编号</w:t>
            </w:r>
          </w:p>
        </w:tc>
        <w:tc>
          <w:tcPr>
            <w:tcW w:w="2982" w:type="pct"/>
            <w:tcBorders>
              <w:bottom w:val="single" w:color="auto" w:sz="8" w:space="0"/>
            </w:tcBorders>
            <w:vAlign w:val="center"/>
          </w:tcPr>
          <w:p w14:paraId="257036D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确定依据</w:t>
            </w:r>
          </w:p>
        </w:tc>
      </w:tr>
      <w:tr w14:paraId="58036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43" w:type="pct"/>
            <w:tcBorders>
              <w:top w:val="single" w:color="auto" w:sz="8" w:space="0"/>
            </w:tcBorders>
            <w:vAlign w:val="center"/>
          </w:tcPr>
          <w:p w14:paraId="357E71C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3术语和定义</w:t>
            </w:r>
          </w:p>
        </w:tc>
        <w:tc>
          <w:tcPr>
            <w:tcW w:w="1274" w:type="pct"/>
            <w:tcBorders>
              <w:top w:val="single" w:color="auto" w:sz="8" w:space="0"/>
            </w:tcBorders>
            <w:vAlign w:val="center"/>
          </w:tcPr>
          <w:p w14:paraId="66A550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3.1冻煮金枪鱼肉</w:t>
            </w:r>
          </w:p>
        </w:tc>
        <w:tc>
          <w:tcPr>
            <w:tcW w:w="2982" w:type="pct"/>
            <w:tcBorders>
              <w:top w:val="single" w:color="auto" w:sz="8" w:space="0"/>
            </w:tcBorders>
            <w:vAlign w:val="center"/>
          </w:tcPr>
          <w:p w14:paraId="541720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参考SB/T 11073—2013速冻水产品定义、冻煮海参等相关标准的术语和定义，依据企业生产实践经验确定。</w:t>
            </w:r>
          </w:p>
        </w:tc>
      </w:tr>
      <w:tr w14:paraId="62380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restart"/>
            <w:vAlign w:val="center"/>
          </w:tcPr>
          <w:p w14:paraId="3FEFB9E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4原料要求</w:t>
            </w:r>
          </w:p>
        </w:tc>
        <w:tc>
          <w:tcPr>
            <w:tcW w:w="1274" w:type="pct"/>
            <w:vAlign w:val="center"/>
          </w:tcPr>
          <w:p w14:paraId="545F4E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4.1.1原料鱼品种</w:t>
            </w:r>
          </w:p>
        </w:tc>
        <w:tc>
          <w:tcPr>
            <w:tcW w:w="2982" w:type="pct"/>
            <w:vAlign w:val="center"/>
          </w:tcPr>
          <w:p w14:paraId="6C47AB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引用GB/T 24403，同时与CXS 70—1981（2018）中的品种对标。</w:t>
            </w:r>
          </w:p>
        </w:tc>
      </w:tr>
      <w:tr w14:paraId="53B7D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tcPr>
          <w:p w14:paraId="3EC3C6D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7B84811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表1原料鱼感官要求</w:t>
            </w:r>
          </w:p>
        </w:tc>
        <w:tc>
          <w:tcPr>
            <w:tcW w:w="2982" w:type="pct"/>
            <w:vAlign w:val="center"/>
          </w:tcPr>
          <w:p w14:paraId="146A80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基于GB 2733要求，依据企业生产实践经验确定。</w:t>
            </w:r>
          </w:p>
        </w:tc>
      </w:tr>
      <w:tr w14:paraId="38781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tcPr>
          <w:p w14:paraId="5955DF39">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369661F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表2原料鱼理化指标</w:t>
            </w:r>
          </w:p>
        </w:tc>
        <w:tc>
          <w:tcPr>
            <w:tcW w:w="2982" w:type="pct"/>
            <w:vAlign w:val="center"/>
          </w:tcPr>
          <w:p w14:paraId="723DB2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基于GB 2733要求，依据企业生产实践经验，增加中心温度指标，温度要求符合CXS 36—1981（2017）要求，检测方法引用；提高组胺限值，并引用AOAC 977.13试验方法，与欧盟、美国等国际贸易进出口要求对标。</w:t>
            </w:r>
          </w:p>
        </w:tc>
      </w:tr>
      <w:tr w14:paraId="103839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tcPr>
          <w:p w14:paraId="33A2F8BE">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2B04FF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4.1.4原料鱼污染物限量</w:t>
            </w:r>
          </w:p>
        </w:tc>
        <w:tc>
          <w:tcPr>
            <w:tcW w:w="2982" w:type="pct"/>
            <w:vAlign w:val="center"/>
          </w:tcPr>
          <w:p w14:paraId="0FB550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引用GB 2762。</w:t>
            </w:r>
          </w:p>
        </w:tc>
      </w:tr>
      <w:tr w14:paraId="3675ED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tcPr>
          <w:p w14:paraId="1D47E79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1FC91B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4.2加工用水</w:t>
            </w:r>
          </w:p>
        </w:tc>
        <w:tc>
          <w:tcPr>
            <w:tcW w:w="2982" w:type="pct"/>
            <w:vAlign w:val="center"/>
          </w:tcPr>
          <w:p w14:paraId="5D038B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依据企业生产实践经验确定，引用GB 5749。</w:t>
            </w:r>
          </w:p>
        </w:tc>
      </w:tr>
      <w:tr w14:paraId="5D2C6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tcPr>
          <w:p w14:paraId="7EB25FE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713A28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4.3其他辅料</w:t>
            </w:r>
          </w:p>
        </w:tc>
        <w:tc>
          <w:tcPr>
            <w:tcW w:w="2982" w:type="pct"/>
            <w:vAlign w:val="center"/>
          </w:tcPr>
          <w:p w14:paraId="3C0547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兜底性条款。</w:t>
            </w:r>
          </w:p>
        </w:tc>
      </w:tr>
      <w:tr w14:paraId="2CD2A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restart"/>
            <w:vAlign w:val="center"/>
          </w:tcPr>
          <w:p w14:paraId="3C04AD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5技术要求</w:t>
            </w:r>
          </w:p>
        </w:tc>
        <w:tc>
          <w:tcPr>
            <w:tcW w:w="1274" w:type="pct"/>
            <w:vAlign w:val="center"/>
          </w:tcPr>
          <w:p w14:paraId="5EE34C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表3产品感官要求</w:t>
            </w:r>
          </w:p>
        </w:tc>
        <w:tc>
          <w:tcPr>
            <w:tcW w:w="2982" w:type="pct"/>
            <w:vAlign w:val="center"/>
          </w:tcPr>
          <w:p w14:paraId="53443A5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基于GB 2733要求，参考GB/T 18109—2024的要求，依据企业生产实践经验确定。</w:t>
            </w:r>
          </w:p>
        </w:tc>
      </w:tr>
      <w:tr w14:paraId="630D7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tcPr>
          <w:p w14:paraId="08A4EF9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6BD2663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表4产品理化指标</w:t>
            </w:r>
          </w:p>
        </w:tc>
        <w:tc>
          <w:tcPr>
            <w:tcW w:w="2982" w:type="pct"/>
            <w:vAlign w:val="center"/>
          </w:tcPr>
          <w:p w14:paraId="078379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基于GB 2733、GB/T 24403-2023要求，依据企业生产实践经验，设置中心温度和氯化物指标；提高组胺限值，并引用AOAC 977.13试验方法，与欧盟、美国等国际贸易进出口要求对标。</w:t>
            </w:r>
          </w:p>
        </w:tc>
      </w:tr>
      <w:tr w14:paraId="34A7E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43" w:type="pct"/>
            <w:vMerge w:val="continue"/>
          </w:tcPr>
          <w:p w14:paraId="5D9489C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092B3F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5.3污染物限量</w:t>
            </w:r>
          </w:p>
        </w:tc>
        <w:tc>
          <w:tcPr>
            <w:tcW w:w="2982" w:type="pct"/>
            <w:vAlign w:val="center"/>
          </w:tcPr>
          <w:p w14:paraId="6ED8B1E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引用GB 2762。</w:t>
            </w:r>
          </w:p>
        </w:tc>
      </w:tr>
      <w:tr w14:paraId="31677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tcPr>
          <w:p w14:paraId="076A8B0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1FF58A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5.4净含量</w:t>
            </w:r>
          </w:p>
        </w:tc>
        <w:tc>
          <w:tcPr>
            <w:tcW w:w="2982" w:type="pct"/>
            <w:vAlign w:val="center"/>
          </w:tcPr>
          <w:p w14:paraId="4DD37B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引用JJF1070。</w:t>
            </w:r>
          </w:p>
        </w:tc>
      </w:tr>
      <w:tr w14:paraId="052B6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restart"/>
            <w:vAlign w:val="center"/>
          </w:tcPr>
          <w:p w14:paraId="3B9A4A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6检验规则</w:t>
            </w:r>
          </w:p>
        </w:tc>
        <w:tc>
          <w:tcPr>
            <w:tcW w:w="1274" w:type="pct"/>
            <w:vAlign w:val="center"/>
          </w:tcPr>
          <w:p w14:paraId="374D88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6.1出厂检验</w:t>
            </w:r>
          </w:p>
        </w:tc>
        <w:tc>
          <w:tcPr>
            <w:tcW w:w="2982" w:type="pct"/>
            <w:vAlign w:val="center"/>
          </w:tcPr>
          <w:p w14:paraId="53B373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基于相关国标要求，依据企业生产实践经验确定。因出口产品较多，增设6.1.3条以适应国际贸易需要。</w:t>
            </w:r>
          </w:p>
        </w:tc>
      </w:tr>
      <w:tr w14:paraId="70FAC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43" w:type="pct"/>
            <w:vMerge w:val="continue"/>
          </w:tcPr>
          <w:p w14:paraId="3C60862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2B5628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6.2型式检验</w:t>
            </w:r>
          </w:p>
        </w:tc>
        <w:tc>
          <w:tcPr>
            <w:tcW w:w="2982" w:type="pct"/>
            <w:vAlign w:val="center"/>
          </w:tcPr>
          <w:p w14:paraId="2DBEDE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符合相关国标要求。</w:t>
            </w:r>
          </w:p>
        </w:tc>
      </w:tr>
      <w:tr w14:paraId="1EC1D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tcPr>
          <w:p w14:paraId="6291373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71FDCE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6.3组批</w:t>
            </w:r>
          </w:p>
        </w:tc>
        <w:tc>
          <w:tcPr>
            <w:tcW w:w="2982" w:type="pct"/>
            <w:vAlign w:val="center"/>
          </w:tcPr>
          <w:p w14:paraId="6E4C3E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基于相关国标要求，依据企业生产实践经验确定。</w:t>
            </w:r>
          </w:p>
        </w:tc>
      </w:tr>
      <w:tr w14:paraId="3AF22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tcPr>
          <w:p w14:paraId="3361D8C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6D6D57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6.4抽样方法</w:t>
            </w:r>
          </w:p>
        </w:tc>
        <w:tc>
          <w:tcPr>
            <w:tcW w:w="2982" w:type="pct"/>
            <w:vAlign w:val="center"/>
          </w:tcPr>
          <w:p w14:paraId="19FAE05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引用GB/T 30891，依据企业生产实践经验确定。</w:t>
            </w:r>
          </w:p>
        </w:tc>
      </w:tr>
      <w:tr w14:paraId="6ED15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tcPr>
          <w:p w14:paraId="6E297B52">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022455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6.5判定规则</w:t>
            </w:r>
          </w:p>
        </w:tc>
        <w:tc>
          <w:tcPr>
            <w:tcW w:w="2982" w:type="pct"/>
            <w:vAlign w:val="center"/>
          </w:tcPr>
          <w:p w14:paraId="7286C2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符合相关国标要求，依据企业生产实践经验确定。</w:t>
            </w:r>
          </w:p>
        </w:tc>
      </w:tr>
      <w:tr w14:paraId="24206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restart"/>
            <w:vAlign w:val="center"/>
          </w:tcPr>
          <w:p w14:paraId="3571044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7标识、包装、运输、贮存</w:t>
            </w:r>
          </w:p>
        </w:tc>
        <w:tc>
          <w:tcPr>
            <w:tcW w:w="1274" w:type="pct"/>
            <w:vAlign w:val="center"/>
          </w:tcPr>
          <w:p w14:paraId="41F382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7.1标识</w:t>
            </w:r>
          </w:p>
        </w:tc>
        <w:tc>
          <w:tcPr>
            <w:tcW w:w="2982" w:type="pct"/>
            <w:vAlign w:val="center"/>
          </w:tcPr>
          <w:p w14:paraId="4F1E57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引用GB 7718和GB 28050，参考GB/T 45061—2024的可追溯要求，依据企业生产实践经验确定。</w:t>
            </w:r>
          </w:p>
        </w:tc>
      </w:tr>
      <w:tr w14:paraId="605D6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tcPr>
          <w:p w14:paraId="0A13436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545C8F6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7.2包装</w:t>
            </w:r>
          </w:p>
        </w:tc>
        <w:tc>
          <w:tcPr>
            <w:tcW w:w="2982" w:type="pct"/>
            <w:vAlign w:val="center"/>
          </w:tcPr>
          <w:p w14:paraId="192B5A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引用SC/T 3035—2018中3.1，依据企业生产实践经验确定。</w:t>
            </w:r>
          </w:p>
        </w:tc>
      </w:tr>
      <w:tr w14:paraId="212F98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tcPr>
          <w:p w14:paraId="39B1318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212B9E5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7.3运输</w:t>
            </w:r>
          </w:p>
        </w:tc>
        <w:tc>
          <w:tcPr>
            <w:tcW w:w="2982" w:type="pct"/>
            <w:vAlign w:val="center"/>
          </w:tcPr>
          <w:p w14:paraId="1CF8BA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基于相关国标要求，依据企业生产实践经验确定。</w:t>
            </w:r>
          </w:p>
        </w:tc>
      </w:tr>
      <w:tr w14:paraId="20D80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Merge w:val="continue"/>
          </w:tcPr>
          <w:p w14:paraId="500AB6D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1"/>
                <w:szCs w:val="21"/>
                <w:vertAlign w:val="baseline"/>
                <w:lang w:val="en-US" w:eastAsia="zh-CN"/>
              </w:rPr>
            </w:pPr>
          </w:p>
        </w:tc>
        <w:tc>
          <w:tcPr>
            <w:tcW w:w="1274" w:type="pct"/>
            <w:vAlign w:val="center"/>
          </w:tcPr>
          <w:p w14:paraId="787DCB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7.4贮存</w:t>
            </w:r>
          </w:p>
        </w:tc>
        <w:tc>
          <w:tcPr>
            <w:tcW w:w="2982" w:type="pct"/>
            <w:vAlign w:val="center"/>
          </w:tcPr>
          <w:p w14:paraId="013DD5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基于相关国标要求，依据企业生产实践经验确定。</w:t>
            </w:r>
          </w:p>
        </w:tc>
      </w:tr>
      <w:tr w14:paraId="2DB8E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vAlign w:val="center"/>
          </w:tcPr>
          <w:p w14:paraId="4BF25D0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8保质期</w:t>
            </w:r>
          </w:p>
        </w:tc>
        <w:tc>
          <w:tcPr>
            <w:tcW w:w="1274" w:type="pct"/>
            <w:vAlign w:val="center"/>
          </w:tcPr>
          <w:p w14:paraId="7299276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w:t>
            </w:r>
          </w:p>
        </w:tc>
        <w:tc>
          <w:tcPr>
            <w:tcW w:w="2982" w:type="pct"/>
            <w:vAlign w:val="center"/>
          </w:tcPr>
          <w:p w14:paraId="467DA4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依据企业生产实践经验确定。</w:t>
            </w:r>
          </w:p>
        </w:tc>
      </w:tr>
    </w:tbl>
    <w:p w14:paraId="2E70FA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4.</w:t>
      </w:r>
      <w:r>
        <w:rPr>
          <w:rFonts w:hint="eastAsia" w:ascii="宋体" w:hAnsi="宋体" w:eastAsia="宋体" w:cs="宋体"/>
          <w:b/>
          <w:bCs/>
          <w:sz w:val="28"/>
          <w:szCs w:val="28"/>
          <w:lang w:val="en-US" w:eastAsia="zh-CN"/>
        </w:rPr>
        <w:t>关键技术指标的确定</w:t>
      </w:r>
    </w:p>
    <w:p w14:paraId="46378C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1）中心温度</w:t>
      </w:r>
    </w:p>
    <w:p w14:paraId="5D0803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参考GB/T 18109—2024《冻鱼》、CXS 36—1981（2017）《速冻去内脏和未去内脏鱼标准》等标准将中心温度限值确定为</w:t>
      </w:r>
      <w:r>
        <w:rPr>
          <w:rFonts w:hint="eastAsia" w:ascii="仿宋_GB2312" w:hAnsi="仿宋_GB2312" w:eastAsia="仿宋_GB2312" w:cs="仿宋_GB2312"/>
          <w:b w:val="0"/>
          <w:bCs w:val="0"/>
          <w:kern w:val="2"/>
          <w:sz w:val="28"/>
          <w:szCs w:val="28"/>
          <w:lang w:val="en-US" w:eastAsia="zh-CN" w:bidi="ar-SA"/>
        </w:rPr>
        <w:t>-</w:t>
      </w:r>
      <w:r>
        <w:rPr>
          <w:rFonts w:hint="eastAsia" w:ascii="宋体" w:hAnsi="宋体" w:eastAsia="宋体" w:cs="宋体"/>
          <w:b w:val="0"/>
          <w:bCs w:val="0"/>
          <w:kern w:val="2"/>
          <w:sz w:val="28"/>
          <w:szCs w:val="28"/>
          <w:lang w:val="en-US" w:eastAsia="zh-CN" w:bidi="ar-SA"/>
        </w:rPr>
        <w:t>18℃。试验方法引用SB/T 10379《速冻调制食品》，将器具预冷后用于打孔、探测，温度稳定时读数。</w:t>
      </w:r>
    </w:p>
    <w:p w14:paraId="6C922E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2）</w:t>
      </w:r>
      <w:r>
        <w:rPr>
          <w:rFonts w:hint="eastAsia" w:ascii="宋体" w:hAnsi="宋体" w:eastAsia="宋体" w:cs="宋体"/>
          <w:b/>
          <w:bCs/>
          <w:sz w:val="28"/>
          <w:szCs w:val="28"/>
          <w:lang w:val="en-US" w:eastAsia="zh-CN"/>
        </w:rPr>
        <w:t>氯化钠</w:t>
      </w:r>
    </w:p>
    <w:p w14:paraId="4EA5D7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该指标主要参考GB/T 24403—2023《金枪鱼罐头质量通则》氯化钠3.5%限值确定。上述标准的编制说明中，金枪鱼罐头被分为油浸类、清蒸（原汁、盐水浸）类、调味类、烟熏类、蔬菜什锦类五类，冻煮金枪鱼产品较接近清蒸类金枪鱼罐头，参考其中清蒸类金枪鱼罐头氯化钠含量指标验证情况（31个试样氯化钠含量均低于1.5%），结合冻煮金枪鱼产品生产实践，本标准中氯化钠限值定为3.0%，试验方法同步引用GB 5009.44《食品安全国家标准 食品中氯化物的测定》，确定换算系数为1.65。</w:t>
      </w:r>
    </w:p>
    <w:p w14:paraId="76387835">
      <w:pPr>
        <w:pStyle w:val="3"/>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sz w:val="21"/>
          <w:szCs w:val="21"/>
          <w:lang w:val="en-US" w:eastAsia="zh-CN"/>
        </w:rPr>
      </w:pPr>
      <w:r>
        <w:rPr>
          <w:sz w:val="21"/>
          <w:szCs w:val="21"/>
        </w:rPr>
        <w:t xml:space="preserve">表 </w:t>
      </w:r>
      <w:r>
        <w:rPr>
          <w:sz w:val="21"/>
          <w:szCs w:val="21"/>
        </w:rPr>
        <w:fldChar w:fldCharType="begin"/>
      </w:r>
      <w:r>
        <w:rPr>
          <w:sz w:val="21"/>
          <w:szCs w:val="21"/>
        </w:rPr>
        <w:instrText xml:space="preserve"> SEQ 表 \* ARABIC </w:instrText>
      </w:r>
      <w:r>
        <w:rPr>
          <w:sz w:val="21"/>
          <w:szCs w:val="21"/>
        </w:rPr>
        <w:fldChar w:fldCharType="separate"/>
      </w:r>
      <w:r>
        <w:rPr>
          <w:sz w:val="21"/>
          <w:szCs w:val="21"/>
        </w:rPr>
        <w:t>3</w:t>
      </w:r>
      <w:r>
        <w:rPr>
          <w:sz w:val="21"/>
          <w:szCs w:val="21"/>
        </w:rPr>
        <w:fldChar w:fldCharType="end"/>
      </w:r>
      <w:r>
        <w:rPr>
          <w:rFonts w:hint="eastAsia"/>
          <w:sz w:val="21"/>
          <w:szCs w:val="21"/>
          <w:lang w:val="en-US" w:eastAsia="zh-CN"/>
        </w:rPr>
        <w:t>氯化钠指标对比</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219"/>
        <w:gridCol w:w="4037"/>
      </w:tblGrid>
      <w:tr w14:paraId="1671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28" w:type="pct"/>
            <w:vAlign w:val="center"/>
          </w:tcPr>
          <w:p w14:paraId="1DD29C79">
            <w:pPr>
              <w:jc w:val="both"/>
              <w:rPr>
                <w:rFonts w:hint="default" w:ascii="Times New Roman" w:hAnsi="Times New Roman" w:cs="Times New Roman"/>
                <w:vertAlign w:val="baseline"/>
                <w:lang w:val="en-US" w:eastAsia="zh-CN"/>
              </w:rPr>
            </w:pPr>
            <w:r>
              <w:rPr>
                <w:rFonts w:hint="default" w:ascii="Times New Roman" w:hAnsi="Times New Roman" w:cs="Times New Roman"/>
                <w:b/>
                <w:bCs/>
                <w:kern w:val="2"/>
                <w:sz w:val="21"/>
                <w:szCs w:val="24"/>
                <w:vertAlign w:val="baseline"/>
                <w:lang w:val="en-US" w:eastAsia="zh-CN" w:bidi="ar-SA"/>
              </w:rPr>
              <w:t>标   准</w:t>
            </w:r>
          </w:p>
        </w:tc>
        <w:tc>
          <w:tcPr>
            <w:tcW w:w="1302" w:type="pct"/>
            <w:vAlign w:val="center"/>
          </w:tcPr>
          <w:p w14:paraId="5EF9D2B5">
            <w:pPr>
              <w:jc w:val="both"/>
              <w:rPr>
                <w:rFonts w:hint="default" w:ascii="Times New Roman" w:hAnsi="Times New Roman" w:cs="Times New Roman"/>
                <w:vertAlign w:val="baseline"/>
                <w:lang w:val="en-US" w:eastAsia="zh-CN"/>
              </w:rPr>
            </w:pPr>
            <w:r>
              <w:rPr>
                <w:rFonts w:hint="default" w:ascii="Times New Roman" w:hAnsi="Times New Roman" w:cs="Times New Roman"/>
                <w:b/>
                <w:bCs/>
                <w:kern w:val="2"/>
                <w:sz w:val="21"/>
                <w:szCs w:val="24"/>
                <w:vertAlign w:val="baseline"/>
                <w:lang w:val="en-US" w:eastAsia="zh-CN" w:bidi="ar-SA"/>
              </w:rPr>
              <w:t>指   标</w:t>
            </w:r>
            <w:r>
              <w:rPr>
                <w:rFonts w:hint="default" w:ascii="Times New Roman" w:hAnsi="Times New Roman" w:cs="Times New Roman"/>
                <w:b/>
                <w:bCs/>
                <w:vertAlign w:val="baseline"/>
                <w:lang w:val="en-US" w:eastAsia="zh-CN"/>
              </w:rPr>
              <w:t>（%）</w:t>
            </w:r>
          </w:p>
        </w:tc>
        <w:tc>
          <w:tcPr>
            <w:tcW w:w="2368" w:type="pct"/>
            <w:vAlign w:val="center"/>
          </w:tcPr>
          <w:p w14:paraId="79B6230D">
            <w:pPr>
              <w:jc w:val="both"/>
              <w:rPr>
                <w:rFonts w:hint="default" w:ascii="Times New Roman" w:hAnsi="Times New Roman" w:cs="Times New Roman"/>
                <w:vertAlign w:val="baseline"/>
                <w:lang w:val="en-US" w:eastAsia="zh-CN"/>
              </w:rPr>
            </w:pPr>
            <w:r>
              <w:rPr>
                <w:rFonts w:hint="default" w:ascii="Times New Roman" w:hAnsi="Times New Roman" w:cs="Times New Roman"/>
                <w:b/>
                <w:bCs/>
                <w:kern w:val="2"/>
                <w:sz w:val="21"/>
                <w:szCs w:val="24"/>
                <w:vertAlign w:val="baseline"/>
                <w:lang w:val="en-US" w:eastAsia="zh-CN" w:bidi="ar-SA"/>
              </w:rPr>
              <w:t>检测方法</w:t>
            </w:r>
          </w:p>
        </w:tc>
      </w:tr>
      <w:tr w14:paraId="3BFA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28" w:type="pct"/>
            <w:vAlign w:val="center"/>
          </w:tcPr>
          <w:p w14:paraId="7BD68F72">
            <w:p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本标准</w:t>
            </w:r>
          </w:p>
        </w:tc>
        <w:tc>
          <w:tcPr>
            <w:tcW w:w="1302" w:type="pct"/>
            <w:vAlign w:val="center"/>
          </w:tcPr>
          <w:p w14:paraId="2743B8A7">
            <w:pPr>
              <w:jc w:val="both"/>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≤3.0</w:t>
            </w:r>
          </w:p>
        </w:tc>
        <w:tc>
          <w:tcPr>
            <w:tcW w:w="2368" w:type="pct"/>
            <w:vAlign w:val="center"/>
          </w:tcPr>
          <w:p w14:paraId="57995752">
            <w:pPr>
              <w:jc w:val="both"/>
              <w:rPr>
                <w:rFonts w:hint="default" w:ascii="Times New Roman" w:hAnsi="Times New Roman" w:cs="Times New Roman"/>
                <w:kern w:val="2"/>
                <w:sz w:val="21"/>
                <w:szCs w:val="24"/>
                <w:vertAlign w:val="baseline"/>
                <w:lang w:val="en-US" w:eastAsia="zh-CN" w:bidi="ar-SA"/>
              </w:rPr>
            </w:pPr>
            <w:r>
              <w:rPr>
                <w:rFonts w:hint="default" w:ascii="Times New Roman" w:hAnsi="Times New Roman" w:cs="Times New Roman"/>
                <w:kern w:val="2"/>
                <w:sz w:val="21"/>
                <w:szCs w:val="24"/>
                <w:vertAlign w:val="baseline"/>
                <w:lang w:val="en-US" w:eastAsia="zh-CN" w:bidi="ar-SA"/>
              </w:rPr>
              <w:t>GB 5009.44，氯化物含量乘以1.65系数</w:t>
            </w:r>
          </w:p>
        </w:tc>
      </w:tr>
      <w:tr w14:paraId="4DCB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28" w:type="pct"/>
            <w:vAlign w:val="center"/>
          </w:tcPr>
          <w:p w14:paraId="523E0EB7">
            <w:pPr>
              <w:jc w:val="both"/>
              <w:rPr>
                <w:rFonts w:hint="default" w:ascii="Times New Roman" w:hAnsi="Times New Roman" w:cs="Times New Roman"/>
                <w:vertAlign w:val="baseline"/>
              </w:rPr>
            </w:pPr>
            <w:r>
              <w:rPr>
                <w:rFonts w:hint="default" w:ascii="Times New Roman" w:hAnsi="Times New Roman" w:cs="Times New Roman"/>
                <w:vertAlign w:val="baseline"/>
              </w:rPr>
              <w:t>GB/T 24403-2023</w:t>
            </w:r>
          </w:p>
        </w:tc>
        <w:tc>
          <w:tcPr>
            <w:tcW w:w="1302" w:type="pct"/>
            <w:vAlign w:val="center"/>
          </w:tcPr>
          <w:p w14:paraId="64016FA1">
            <w:pPr>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≤3.5</w:t>
            </w:r>
          </w:p>
        </w:tc>
        <w:tc>
          <w:tcPr>
            <w:tcW w:w="2368" w:type="pct"/>
            <w:vAlign w:val="center"/>
          </w:tcPr>
          <w:p w14:paraId="37C2BCA5">
            <w:pPr>
              <w:jc w:val="both"/>
              <w:rPr>
                <w:rFonts w:hint="default" w:ascii="Times New Roman" w:hAnsi="Times New Roman" w:cs="Times New Roman"/>
                <w:kern w:val="2"/>
                <w:sz w:val="21"/>
                <w:szCs w:val="24"/>
                <w:vertAlign w:val="baseline"/>
                <w:lang w:val="en-US" w:eastAsia="zh-CN" w:bidi="ar-SA"/>
              </w:rPr>
            </w:pPr>
            <w:r>
              <w:rPr>
                <w:rFonts w:hint="default" w:ascii="Times New Roman" w:hAnsi="Times New Roman" w:cs="Times New Roman"/>
                <w:kern w:val="2"/>
                <w:sz w:val="21"/>
                <w:szCs w:val="24"/>
                <w:vertAlign w:val="baseline"/>
                <w:lang w:val="en-US" w:eastAsia="zh-CN" w:bidi="ar-SA"/>
              </w:rPr>
              <w:t>GB 5009.44，氯化物含量乘以1.65系数</w:t>
            </w:r>
          </w:p>
        </w:tc>
      </w:tr>
    </w:tbl>
    <w:p w14:paraId="019486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3）组胺</w:t>
      </w:r>
    </w:p>
    <w:p w14:paraId="0E9690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组胺是鱼类等水产品腐败变质的重要指标，高组胺鱼类（如金枪鱼、沙丁鱼等）在不当储存条件下，易因微生物繁殖产生组胺，摄入过量可引发过敏反应（如头痛、呕吐、皮疹等）。有研究表明，在冻煮金枪鱼肉加工过程中，原料验收和解冻环节是组胺增加的主要阶段，解冻至中心温度高于4℃时，组胺开始急剧增加，原料组胺含量越高，组胺增速越大（</w:t>
      </w:r>
      <w:r>
        <w:rPr>
          <w:rFonts w:hint="default" w:ascii="宋体" w:hAnsi="宋体" w:eastAsia="宋体" w:cs="宋体"/>
          <w:b w:val="0"/>
          <w:bCs w:val="0"/>
          <w:sz w:val="28"/>
          <w:szCs w:val="28"/>
          <w:lang w:val="en-US" w:eastAsia="zh-CN"/>
        </w:rPr>
        <w:t>金枪鱼鱼柳加工过程中组胺变化规律的研究</w:t>
      </w:r>
      <w:r>
        <w:rPr>
          <w:rFonts w:hint="eastAsia" w:ascii="宋体" w:hAnsi="宋体" w:eastAsia="宋体" w:cs="宋体"/>
          <w:b w:val="0"/>
          <w:bCs w:val="0"/>
          <w:sz w:val="28"/>
          <w:szCs w:val="28"/>
          <w:lang w:val="en-US" w:eastAsia="zh-CN"/>
        </w:rPr>
        <w:t>.食品工业科技.2011,32(02)），故原料鱼和冻煮金枪鱼产品均应检测该指标。</w:t>
      </w:r>
    </w:p>
    <w:p w14:paraId="584D5F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目前国内外相关标准、法规等均对动物性水产品的组胺含量提出要求，GB 2733-2015《食品安全国家标准 鲜、冻动物性水产品》中金枪鱼等高组胺鱼类的组胺限值为40mg/100g；</w:t>
      </w:r>
      <w:r>
        <w:rPr>
          <w:rFonts w:hint="default" w:ascii="宋体" w:hAnsi="宋体" w:eastAsia="宋体" w:cs="宋体"/>
          <w:b w:val="0"/>
          <w:bCs w:val="0"/>
          <w:sz w:val="28"/>
          <w:szCs w:val="28"/>
          <w:lang w:val="en-US" w:eastAsia="zh-CN"/>
        </w:rPr>
        <w:t>CXS 36-1981</w:t>
      </w:r>
      <w:r>
        <w:rPr>
          <w:rFonts w:hint="eastAsia" w:ascii="宋体" w:hAnsi="宋体" w:eastAsia="宋体" w:cs="宋体"/>
          <w:b w:val="0"/>
          <w:bCs w:val="0"/>
          <w:sz w:val="28"/>
          <w:szCs w:val="28"/>
          <w:lang w:val="en-US" w:eastAsia="zh-CN"/>
        </w:rPr>
        <w:t>(</w:t>
      </w:r>
      <w:r>
        <w:rPr>
          <w:rFonts w:hint="default" w:ascii="宋体" w:hAnsi="宋体" w:eastAsia="宋体" w:cs="宋体"/>
          <w:b w:val="0"/>
          <w:bCs w:val="0"/>
          <w:sz w:val="28"/>
          <w:szCs w:val="28"/>
          <w:lang w:val="en-US" w:eastAsia="zh-CN"/>
        </w:rPr>
        <w:t>2017</w:t>
      </w:r>
      <w:r>
        <w:rPr>
          <w:rFonts w:hint="eastAsia" w:ascii="宋体" w:hAnsi="宋体" w:eastAsia="宋体" w:cs="宋体"/>
          <w:b w:val="0"/>
          <w:bCs w:val="0"/>
          <w:sz w:val="28"/>
          <w:szCs w:val="28"/>
          <w:lang w:val="en-US" w:eastAsia="zh-CN"/>
        </w:rPr>
        <w:t>)</w:t>
      </w:r>
      <w:r>
        <w:rPr>
          <w:rFonts w:hint="default" w:ascii="宋体" w:hAnsi="宋体" w:eastAsia="宋体" w:cs="宋体"/>
          <w:b w:val="0"/>
          <w:bCs w:val="0"/>
          <w:sz w:val="28"/>
          <w:szCs w:val="28"/>
          <w:lang w:val="en-US" w:eastAsia="zh-CN"/>
        </w:rPr>
        <w:t>《国际食品法典标准 速冻去内脏和未去内脏鱼》</w:t>
      </w:r>
      <w:r>
        <w:rPr>
          <w:rFonts w:hint="eastAsia" w:ascii="宋体" w:hAnsi="宋体" w:eastAsia="宋体" w:cs="宋体"/>
          <w:b w:val="0"/>
          <w:bCs w:val="0"/>
          <w:sz w:val="28"/>
          <w:szCs w:val="28"/>
          <w:lang w:val="en-US" w:eastAsia="zh-CN"/>
        </w:rPr>
        <w:t>的组胺限值为20mg/100g；欧盟委员会2073/2005号法规对高组胺类水产品的组胺限值为100mg/kg（即10mg/100g）；美国联邦法规第21卷第123部分《水产和水产品加工和进口的安全与卫生程序》规定进口水产品组胺限值为50mg/kg（即5mg/100g），2024年11月FDA正式确定调整指标：金枪鱼等有鳍鱼类组胺含量≥35mg/kg（即3.5mg/100g）时判定生产条件不卫生，达到200mg/kg时判定可能危害人体健康。</w:t>
      </w:r>
    </w:p>
    <w:p w14:paraId="79B181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highlight w:val="none"/>
          <w:lang w:val="en-US" w:eastAsia="zh-CN"/>
        </w:rPr>
        <w:t>试验方法方面，GB 5009.208—2016《食品安全国家标准 食品中生物胺的测定》包含两种方法。第一法（液相色谱法）检出限为 20mg/kg，定量限为50mg/kg，该方法通过液相色谱将组胺与其他物质分离，再利用特定检测器对组胺进行定性和定量，操作流程相对成熟，适用于实验室精准定量分析，能满足国内生产及流通环节的常规检测需求。第二法（分光光度法）定量限为50mg/kg，该方法基于组胺与特定试剂反应生成有颜色物质，通过测定吸光度来推算组胺含量，但由于水产品成分复杂，其他胺类物质会对检测结果造成干扰，适用性相对有限。AOAC 977.13</w:t>
      </w:r>
      <w:r>
        <w:rPr>
          <w:rFonts w:hint="eastAsia" w:ascii="宋体" w:hAnsi="宋体" w:eastAsia="宋体" w:cs="宋体"/>
          <w:b w:val="0"/>
          <w:bCs w:val="0"/>
          <w:sz w:val="28"/>
          <w:szCs w:val="28"/>
          <w:lang w:val="en-US" w:eastAsia="zh-CN"/>
        </w:rPr>
        <w:t>《海产品中组胺的荧光测定法》为CAC和FDA要求的试验方法，检出限低于0.1mg/kg，其原理是组胺与特定荧光试剂结合后，在特定波长激发光下发射荧光，通过检测荧光强度来确定组胺含量，整个检测过程耗时短，可在短时间内对大量样品进行初筛，适用于快速检测场景。ISO 19343:2017《食物链的微生物学 鱼类和水产品的组胺检测和评定》规定了一种高效液相色谱（HPLC）方法，其原理与GB 5009.208第一法一致。在实际应用中，GB 5009.208更贴合国内现有检测机构设备及人员操作习惯。</w:t>
      </w:r>
    </w:p>
    <w:p w14:paraId="2092A5F9">
      <w:pPr>
        <w:pStyle w:val="3"/>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sz w:val="21"/>
          <w:szCs w:val="21"/>
          <w:lang w:val="en-US" w:eastAsia="zh-CN"/>
        </w:rPr>
      </w:pPr>
      <w:r>
        <w:rPr>
          <w:sz w:val="21"/>
          <w:szCs w:val="21"/>
        </w:rPr>
        <w:t xml:space="preserve">表 </w:t>
      </w:r>
      <w:r>
        <w:rPr>
          <w:sz w:val="21"/>
          <w:szCs w:val="21"/>
        </w:rPr>
        <w:fldChar w:fldCharType="begin"/>
      </w:r>
      <w:r>
        <w:rPr>
          <w:sz w:val="21"/>
          <w:szCs w:val="21"/>
        </w:rPr>
        <w:instrText xml:space="preserve"> SEQ 表 \* ARABIC </w:instrText>
      </w:r>
      <w:r>
        <w:rPr>
          <w:sz w:val="21"/>
          <w:szCs w:val="21"/>
        </w:rPr>
        <w:fldChar w:fldCharType="separate"/>
      </w:r>
      <w:r>
        <w:rPr>
          <w:sz w:val="21"/>
          <w:szCs w:val="21"/>
        </w:rPr>
        <w:t>4</w:t>
      </w:r>
      <w:r>
        <w:rPr>
          <w:sz w:val="21"/>
          <w:szCs w:val="21"/>
        </w:rPr>
        <w:fldChar w:fldCharType="end"/>
      </w:r>
      <w:r>
        <w:rPr>
          <w:rFonts w:hint="eastAsia"/>
          <w:sz w:val="21"/>
          <w:szCs w:val="21"/>
          <w:lang w:val="en-US" w:eastAsia="zh-CN"/>
        </w:rPr>
        <w:t>组胺指标对比</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4"/>
        <w:gridCol w:w="2840"/>
        <w:gridCol w:w="2845"/>
      </w:tblGrid>
      <w:tr w14:paraId="5ECF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3" w:type="pct"/>
            <w:shd w:val="clear" w:color="auto" w:fill="auto"/>
            <w:vAlign w:val="center"/>
          </w:tcPr>
          <w:p w14:paraId="21298391">
            <w:pPr>
              <w:jc w:val="center"/>
              <w:rPr>
                <w:rFonts w:hint="default" w:ascii="Times New Roman" w:hAnsi="Times New Roman" w:cs="Times New Roman"/>
                <w:b/>
                <w:bCs/>
                <w:kern w:val="2"/>
                <w:sz w:val="21"/>
                <w:szCs w:val="24"/>
                <w:vertAlign w:val="baseline"/>
                <w:lang w:val="en-US" w:eastAsia="zh-CN" w:bidi="ar-SA"/>
              </w:rPr>
            </w:pPr>
            <w:r>
              <w:rPr>
                <w:rFonts w:hint="eastAsia" w:ascii="Times New Roman" w:hAnsi="Times New Roman" w:cs="Times New Roman"/>
                <w:b/>
                <w:bCs/>
                <w:kern w:val="2"/>
                <w:sz w:val="21"/>
                <w:szCs w:val="24"/>
                <w:vertAlign w:val="baseline"/>
                <w:lang w:val="en-US" w:eastAsia="zh-CN" w:bidi="ar-SA"/>
              </w:rPr>
              <w:t>标   准</w:t>
            </w:r>
          </w:p>
        </w:tc>
        <w:tc>
          <w:tcPr>
            <w:tcW w:w="1666" w:type="pct"/>
            <w:shd w:val="clear" w:color="auto" w:fill="auto"/>
            <w:vAlign w:val="center"/>
          </w:tcPr>
          <w:p w14:paraId="4A6D2589">
            <w:pPr>
              <w:jc w:val="center"/>
              <w:rPr>
                <w:rFonts w:hint="eastAsia" w:ascii="Times New Roman" w:hAnsi="Times New Roman" w:cs="Times New Roman" w:eastAsiaTheme="minorEastAsia"/>
                <w:b/>
                <w:bCs/>
                <w:kern w:val="2"/>
                <w:sz w:val="21"/>
                <w:szCs w:val="24"/>
                <w:vertAlign w:val="baseline"/>
                <w:lang w:val="en-US" w:eastAsia="zh-CN" w:bidi="ar-SA"/>
              </w:rPr>
            </w:pPr>
            <w:r>
              <w:rPr>
                <w:rFonts w:hint="eastAsia" w:ascii="Times New Roman" w:hAnsi="Times New Roman" w:cs="Times New Roman"/>
                <w:b/>
                <w:bCs/>
                <w:kern w:val="2"/>
                <w:sz w:val="21"/>
                <w:szCs w:val="24"/>
                <w:vertAlign w:val="baseline"/>
                <w:lang w:val="en-US" w:eastAsia="zh-CN" w:bidi="ar-SA"/>
              </w:rPr>
              <w:t>指   标</w:t>
            </w:r>
            <w:r>
              <w:rPr>
                <w:rFonts w:hint="default" w:ascii="Times New Roman" w:hAnsi="Times New Roman" w:cs="Times New Roman"/>
                <w:b/>
                <w:bCs/>
                <w:sz w:val="21"/>
                <w:szCs w:val="24"/>
              </w:rPr>
              <w:t>/</w:t>
            </w:r>
            <w:r>
              <w:rPr>
                <w:rFonts w:hint="eastAsia" w:ascii="Times New Roman" w:hAnsi="Times New Roman" w:cs="Times New Roman"/>
                <w:b/>
                <w:bCs/>
                <w:sz w:val="21"/>
                <w:szCs w:val="24"/>
                <w:lang w:eastAsia="zh-CN"/>
              </w:rPr>
              <w:t>（</w:t>
            </w:r>
            <w:r>
              <w:rPr>
                <w:rFonts w:hint="default" w:ascii="Times New Roman" w:hAnsi="Times New Roman" w:cs="Times New Roman"/>
                <w:b/>
                <w:bCs/>
                <w:sz w:val="21"/>
                <w:szCs w:val="24"/>
              </w:rPr>
              <w:t>mg/100g</w:t>
            </w:r>
            <w:r>
              <w:rPr>
                <w:rFonts w:hint="eastAsia" w:ascii="Times New Roman" w:hAnsi="Times New Roman" w:cs="Times New Roman"/>
                <w:b/>
                <w:bCs/>
                <w:sz w:val="21"/>
                <w:szCs w:val="24"/>
                <w:lang w:eastAsia="zh-CN"/>
              </w:rPr>
              <w:t>）</w:t>
            </w:r>
          </w:p>
        </w:tc>
        <w:tc>
          <w:tcPr>
            <w:tcW w:w="1669" w:type="pct"/>
            <w:shd w:val="clear" w:color="auto" w:fill="auto"/>
            <w:vAlign w:val="center"/>
          </w:tcPr>
          <w:p w14:paraId="6ED13CB3">
            <w:pPr>
              <w:jc w:val="center"/>
              <w:rPr>
                <w:rFonts w:hint="default" w:ascii="Times New Roman" w:hAnsi="Times New Roman" w:cs="Times New Roman"/>
                <w:b/>
                <w:bCs/>
                <w:kern w:val="2"/>
                <w:sz w:val="21"/>
                <w:szCs w:val="24"/>
                <w:vertAlign w:val="baseline"/>
                <w:lang w:val="en-US" w:eastAsia="zh-CN" w:bidi="ar-SA"/>
              </w:rPr>
            </w:pPr>
            <w:r>
              <w:rPr>
                <w:rFonts w:hint="eastAsia" w:ascii="Times New Roman" w:hAnsi="Times New Roman" w:cs="Times New Roman"/>
                <w:b/>
                <w:bCs/>
                <w:kern w:val="2"/>
                <w:sz w:val="21"/>
                <w:szCs w:val="24"/>
                <w:vertAlign w:val="baseline"/>
                <w:lang w:val="en-US" w:eastAsia="zh-CN" w:bidi="ar-SA"/>
              </w:rPr>
              <w:t>检测方法</w:t>
            </w:r>
          </w:p>
        </w:tc>
      </w:tr>
      <w:tr w14:paraId="7FC7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3" w:type="pct"/>
            <w:shd w:val="clear" w:color="auto" w:fill="auto"/>
            <w:vAlign w:val="center"/>
          </w:tcPr>
          <w:p w14:paraId="682F9CE9">
            <w:pPr>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本标准</w:t>
            </w:r>
          </w:p>
        </w:tc>
        <w:tc>
          <w:tcPr>
            <w:tcW w:w="1666" w:type="pct"/>
            <w:shd w:val="clear" w:color="auto" w:fill="auto"/>
            <w:vAlign w:val="center"/>
          </w:tcPr>
          <w:p w14:paraId="376FDEFA">
            <w:pPr>
              <w:jc w:val="both"/>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≤5.0</w:t>
            </w:r>
          </w:p>
        </w:tc>
        <w:tc>
          <w:tcPr>
            <w:tcW w:w="1669" w:type="pct"/>
            <w:shd w:val="clear" w:color="auto" w:fill="auto"/>
            <w:vAlign w:val="center"/>
          </w:tcPr>
          <w:p w14:paraId="7977A98B">
            <w:pPr>
              <w:jc w:val="both"/>
              <w:rPr>
                <w:rFonts w:hint="eastAsia" w:ascii="Times New Roman" w:hAnsi="Times New Roman" w:cs="Times New Roman"/>
                <w:kern w:val="2"/>
                <w:sz w:val="22"/>
                <w:szCs w:val="28"/>
                <w:vertAlign w:val="baseline"/>
                <w:lang w:val="en-US" w:eastAsia="zh-CN" w:bidi="ar-SA"/>
              </w:rPr>
            </w:pPr>
            <w:r>
              <w:rPr>
                <w:rFonts w:hint="eastAsia" w:ascii="Times New Roman" w:hAnsi="Times New Roman" w:cs="Times New Roman"/>
                <w:kern w:val="2"/>
                <w:sz w:val="22"/>
                <w:szCs w:val="28"/>
                <w:vertAlign w:val="baseline"/>
                <w:lang w:val="en-US" w:eastAsia="zh-CN" w:bidi="ar-SA"/>
              </w:rPr>
              <w:t>GB 5009.208、AOAC 977.13</w:t>
            </w:r>
          </w:p>
        </w:tc>
      </w:tr>
      <w:tr w14:paraId="64AB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3" w:type="pct"/>
            <w:shd w:val="clear" w:color="auto" w:fill="auto"/>
            <w:vAlign w:val="center"/>
          </w:tcPr>
          <w:p w14:paraId="1C32F9C1">
            <w:pPr>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GB 2733-2015</w:t>
            </w:r>
          </w:p>
        </w:tc>
        <w:tc>
          <w:tcPr>
            <w:tcW w:w="1666" w:type="pct"/>
            <w:shd w:val="clear" w:color="auto" w:fill="auto"/>
            <w:vAlign w:val="center"/>
          </w:tcPr>
          <w:p w14:paraId="2DE0BCBC">
            <w:pPr>
              <w:jc w:val="both"/>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≤40（高组胺鱼类）</w:t>
            </w:r>
          </w:p>
        </w:tc>
        <w:tc>
          <w:tcPr>
            <w:tcW w:w="1669" w:type="pct"/>
            <w:shd w:val="clear" w:color="auto" w:fill="auto"/>
            <w:vAlign w:val="center"/>
          </w:tcPr>
          <w:p w14:paraId="658AFDFB">
            <w:pPr>
              <w:jc w:val="both"/>
              <w:rPr>
                <w:rFonts w:hint="eastAsia" w:ascii="Times New Roman" w:hAnsi="Times New Roman" w:cs="Times New Roman"/>
                <w:sz w:val="22"/>
                <w:szCs w:val="28"/>
                <w:vertAlign w:val="baseline"/>
                <w:lang w:val="en-US" w:eastAsia="zh-CN"/>
              </w:rPr>
            </w:pPr>
            <w:r>
              <w:rPr>
                <w:rFonts w:hint="eastAsia" w:ascii="Times New Roman" w:hAnsi="Times New Roman" w:cs="Times New Roman"/>
                <w:kern w:val="2"/>
                <w:sz w:val="22"/>
                <w:szCs w:val="28"/>
                <w:vertAlign w:val="baseline"/>
                <w:lang w:val="en-US" w:eastAsia="zh-CN" w:bidi="ar-SA"/>
              </w:rPr>
              <w:t>GB 5009.208</w:t>
            </w:r>
          </w:p>
        </w:tc>
      </w:tr>
      <w:tr w14:paraId="6E6C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3" w:type="pct"/>
            <w:shd w:val="clear" w:color="auto" w:fill="auto"/>
            <w:vAlign w:val="center"/>
          </w:tcPr>
          <w:p w14:paraId="3A35DF11">
            <w:pPr>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GB 10136-2015</w:t>
            </w:r>
          </w:p>
        </w:tc>
        <w:tc>
          <w:tcPr>
            <w:tcW w:w="1666" w:type="pct"/>
            <w:shd w:val="clear" w:color="auto" w:fill="auto"/>
            <w:vAlign w:val="center"/>
          </w:tcPr>
          <w:p w14:paraId="134B0BDE">
            <w:pPr>
              <w:jc w:val="both"/>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≤40（盐渍鱼高组胺类）</w:t>
            </w:r>
          </w:p>
        </w:tc>
        <w:tc>
          <w:tcPr>
            <w:tcW w:w="1669" w:type="pct"/>
            <w:shd w:val="clear" w:color="auto" w:fill="auto"/>
            <w:vAlign w:val="center"/>
          </w:tcPr>
          <w:p w14:paraId="3B820A3C">
            <w:pPr>
              <w:jc w:val="both"/>
              <w:rPr>
                <w:rFonts w:hint="eastAsia" w:ascii="Times New Roman" w:hAnsi="Times New Roman" w:cs="Times New Roman"/>
                <w:sz w:val="22"/>
                <w:szCs w:val="28"/>
                <w:vertAlign w:val="baseline"/>
                <w:lang w:val="en-US" w:eastAsia="zh-CN"/>
              </w:rPr>
            </w:pPr>
            <w:r>
              <w:rPr>
                <w:rFonts w:hint="eastAsia" w:ascii="Times New Roman" w:hAnsi="Times New Roman" w:cs="Times New Roman"/>
                <w:kern w:val="2"/>
                <w:sz w:val="22"/>
                <w:szCs w:val="28"/>
                <w:vertAlign w:val="baseline"/>
                <w:lang w:val="en-US" w:eastAsia="zh-CN" w:bidi="ar-SA"/>
              </w:rPr>
              <w:t>GB 5009.208</w:t>
            </w:r>
          </w:p>
        </w:tc>
      </w:tr>
      <w:tr w14:paraId="1751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3" w:type="pct"/>
            <w:shd w:val="clear" w:color="auto" w:fill="auto"/>
            <w:vAlign w:val="center"/>
          </w:tcPr>
          <w:p w14:paraId="06129E90">
            <w:pPr>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CXS 36-1981</w:t>
            </w:r>
          </w:p>
        </w:tc>
        <w:tc>
          <w:tcPr>
            <w:tcW w:w="1666" w:type="pct"/>
            <w:shd w:val="clear" w:color="auto" w:fill="auto"/>
            <w:vAlign w:val="center"/>
          </w:tcPr>
          <w:p w14:paraId="69B1E701">
            <w:pPr>
              <w:jc w:val="both"/>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≤20（冻鱼）</w:t>
            </w:r>
          </w:p>
        </w:tc>
        <w:tc>
          <w:tcPr>
            <w:tcW w:w="1669" w:type="pct"/>
            <w:shd w:val="clear" w:color="auto" w:fill="auto"/>
            <w:vAlign w:val="center"/>
          </w:tcPr>
          <w:p w14:paraId="2E98E439">
            <w:pPr>
              <w:jc w:val="both"/>
              <w:rPr>
                <w:rFonts w:hint="eastAsia" w:ascii="Times New Roman" w:hAnsi="Times New Roman" w:cs="Times New Roman"/>
                <w:sz w:val="22"/>
                <w:szCs w:val="28"/>
                <w:vertAlign w:val="baseline"/>
                <w:lang w:val="en-US" w:eastAsia="zh-CN"/>
              </w:rPr>
            </w:pPr>
            <w:r>
              <w:rPr>
                <w:rFonts w:hint="eastAsia" w:ascii="Times New Roman" w:hAnsi="Times New Roman" w:cs="Times New Roman"/>
                <w:sz w:val="22"/>
                <w:szCs w:val="28"/>
                <w:vertAlign w:val="baseline"/>
                <w:lang w:val="en-US" w:eastAsia="zh-CN"/>
              </w:rPr>
              <w:t>AOAC 977.13</w:t>
            </w:r>
          </w:p>
        </w:tc>
      </w:tr>
      <w:tr w14:paraId="25EF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3" w:type="pct"/>
            <w:shd w:val="clear" w:color="auto" w:fill="auto"/>
            <w:vAlign w:val="center"/>
          </w:tcPr>
          <w:p w14:paraId="5D344CEB">
            <w:pPr>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(EC) No 2073/2005</w:t>
            </w:r>
          </w:p>
        </w:tc>
        <w:tc>
          <w:tcPr>
            <w:tcW w:w="1666" w:type="pct"/>
            <w:shd w:val="clear" w:color="auto" w:fill="auto"/>
            <w:vAlign w:val="center"/>
          </w:tcPr>
          <w:p w14:paraId="3A298C6E">
            <w:pPr>
              <w:jc w:val="both"/>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≤10（鲜/冻鱼）</w:t>
            </w:r>
          </w:p>
        </w:tc>
        <w:tc>
          <w:tcPr>
            <w:tcW w:w="1669" w:type="pct"/>
            <w:shd w:val="clear" w:color="auto" w:fill="auto"/>
            <w:vAlign w:val="center"/>
          </w:tcPr>
          <w:p w14:paraId="75F43702">
            <w:pPr>
              <w:jc w:val="both"/>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ISO 19343</w:t>
            </w:r>
          </w:p>
        </w:tc>
      </w:tr>
      <w:tr w14:paraId="5CA6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3" w:type="pct"/>
            <w:vMerge w:val="restart"/>
            <w:shd w:val="clear" w:color="auto" w:fill="auto"/>
            <w:vAlign w:val="center"/>
          </w:tcPr>
          <w:p w14:paraId="5B1954E5">
            <w:pPr>
              <w:jc w:val="both"/>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21CFR - 123</w:t>
            </w:r>
          </w:p>
        </w:tc>
        <w:tc>
          <w:tcPr>
            <w:tcW w:w="1666" w:type="pct"/>
            <w:shd w:val="clear" w:color="auto" w:fill="auto"/>
            <w:vAlign w:val="center"/>
          </w:tcPr>
          <w:p w14:paraId="050E1302">
            <w:pPr>
              <w:jc w:val="both"/>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≤5.0（2024年11月前）</w:t>
            </w:r>
          </w:p>
        </w:tc>
        <w:tc>
          <w:tcPr>
            <w:tcW w:w="1669" w:type="pct"/>
            <w:vMerge w:val="restart"/>
            <w:shd w:val="clear" w:color="auto" w:fill="auto"/>
            <w:vAlign w:val="center"/>
          </w:tcPr>
          <w:p w14:paraId="4BA998C3">
            <w:pPr>
              <w:jc w:val="both"/>
              <w:rPr>
                <w:rFonts w:hint="eastAsia" w:ascii="Times New Roman" w:hAnsi="Times New Roman" w:cs="Times New Roman"/>
                <w:vertAlign w:val="baseline"/>
                <w:lang w:val="en-US" w:eastAsia="zh-CN"/>
              </w:rPr>
            </w:pPr>
            <w:r>
              <w:rPr>
                <w:rFonts w:hint="eastAsia" w:ascii="Times New Roman" w:hAnsi="Times New Roman" w:cs="Times New Roman"/>
                <w:sz w:val="22"/>
                <w:szCs w:val="28"/>
                <w:vertAlign w:val="baseline"/>
                <w:lang w:val="en-US" w:eastAsia="zh-CN"/>
              </w:rPr>
              <w:t>AOAC 977.13</w:t>
            </w:r>
          </w:p>
        </w:tc>
      </w:tr>
      <w:tr w14:paraId="59DF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3" w:type="pct"/>
            <w:vMerge w:val="continue"/>
            <w:shd w:val="clear" w:color="auto" w:fill="auto"/>
            <w:vAlign w:val="center"/>
          </w:tcPr>
          <w:p w14:paraId="1A6CF2B8">
            <w:pPr>
              <w:jc w:val="both"/>
              <w:rPr>
                <w:rFonts w:hint="default" w:ascii="Times New Roman" w:hAnsi="Times New Roman" w:cs="Times New Roman"/>
                <w:vertAlign w:val="baseline"/>
                <w:lang w:val="en-US" w:eastAsia="zh-CN"/>
              </w:rPr>
            </w:pPr>
          </w:p>
        </w:tc>
        <w:tc>
          <w:tcPr>
            <w:tcW w:w="1666" w:type="pct"/>
            <w:shd w:val="clear" w:color="auto" w:fill="auto"/>
            <w:vAlign w:val="center"/>
          </w:tcPr>
          <w:p w14:paraId="669E451D">
            <w:pPr>
              <w:jc w:val="both"/>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≤3.5（2024年11月后）</w:t>
            </w:r>
          </w:p>
        </w:tc>
        <w:tc>
          <w:tcPr>
            <w:tcW w:w="1669" w:type="pct"/>
            <w:vMerge w:val="continue"/>
            <w:shd w:val="clear" w:color="auto" w:fill="auto"/>
            <w:vAlign w:val="center"/>
          </w:tcPr>
          <w:p w14:paraId="33BB15AA">
            <w:pPr>
              <w:jc w:val="both"/>
              <w:rPr>
                <w:rFonts w:hint="eastAsia" w:ascii="Times New Roman" w:hAnsi="Times New Roman" w:cs="Times New Roman"/>
                <w:vertAlign w:val="baseline"/>
                <w:lang w:val="en-US" w:eastAsia="zh-CN"/>
              </w:rPr>
            </w:pPr>
          </w:p>
        </w:tc>
      </w:tr>
    </w:tbl>
    <w:p w14:paraId="7BBFBC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highlight w:val="none"/>
          <w:lang w:val="en-US" w:eastAsia="zh-CN"/>
        </w:rPr>
        <w:t>综上，结合多家企业冻煮金枪鱼肉产品的质检报告（见附件），和试验方法检出限、定量限等因素考量，本标准确定</w:t>
      </w:r>
      <w:r>
        <w:rPr>
          <w:rFonts w:hint="eastAsia" w:ascii="宋体" w:hAnsi="宋体" w:eastAsia="宋体" w:cs="宋体"/>
          <w:b w:val="0"/>
          <w:bCs w:val="0"/>
          <w:sz w:val="28"/>
          <w:szCs w:val="28"/>
          <w:lang w:val="en-US" w:eastAsia="zh-CN"/>
        </w:rPr>
        <w:t>组胺限值为5.0mg/100g，并采用GB 5009.208与AOAC 977.13为试验方法，既能通过国标方法满足国内生产流通的基础检测与合规性要求，又能依托国际通用的荧光法适配快速检测场景及出口贸易中对高灵敏度的需求，兼顾标准权威性、适用性与国际兼容性。</w:t>
      </w:r>
    </w:p>
    <w:p w14:paraId="3A2F8E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4）微生物（</w:t>
      </w:r>
      <w:r>
        <w:rPr>
          <w:rFonts w:hint="eastAsia" w:ascii="宋体" w:hAnsi="宋体" w:eastAsia="宋体" w:cs="宋体"/>
          <w:b/>
          <w:bCs/>
          <w:sz w:val="28"/>
          <w:szCs w:val="28"/>
          <w:lang w:val="en-US" w:eastAsia="zh-CN"/>
        </w:rPr>
        <w:t>致病菌）</w:t>
      </w:r>
    </w:p>
    <w:p w14:paraId="78D9ED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国内目前暂无适用于冻煮金枪鱼肉产品微生物限量要求的相关标准。GB 10136—2015《食品安全国家标准 动物性水产制品》中对即食生制水产制品的菌落总数和大肠菌群做了限量要求，同时指出熟制动物性水产制品和即食生制动物性水产制品的致病菌限量应符合GB 29921的规定。GB 29921—2021《食品安全国家标准 预包装食品汇总致病菌限量》要求水产制品中不得检出沙门氏菌；同时对即食生制动物性水产制品提出副溶血性弧菌和单核细胞增生李斯特氏菌的限量；该标准附录A中将水产制品分为熟制动物性水产制品、即食生制动物性水产制品、即食藻类制品和其他即食水产品。GB 31607—2021《食品安全国家标准 散装即食食品中致病菌限量》对热处理做了界定：食品中心温度至少达到70℃，持续时间至少1min；对热处理散装即食食品，提出沙门氏菌、金黄色葡萄球菌的限量；对部分热处理或未经热处理散装即食食品，提出沙门氏菌、金黄色葡萄球菌、单核细胞增生李斯特氏菌的限量，对其中含动物性水产品的，还对副溶血性弧菌做了限量要求。冻煮金枪鱼肉产品虽经蒸煮（65℃）但未达到熟制和热处理的要求，且非即食，不适用上述3项标准的微生物限量要求。</w:t>
      </w:r>
    </w:p>
    <w:p w14:paraId="467FB2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b w:val="0"/>
          <w:bCs w:val="0"/>
          <w:sz w:val="28"/>
          <w:szCs w:val="28"/>
          <w:highlight w:val="none"/>
          <w:lang w:val="en-US" w:eastAsia="zh-CN"/>
        </w:rPr>
      </w:pPr>
      <w:r>
        <w:rPr>
          <w:rFonts w:hint="default" w:ascii="宋体" w:hAnsi="宋体" w:eastAsia="宋体" w:cs="宋体"/>
          <w:b w:val="0"/>
          <w:bCs w:val="0"/>
          <w:sz w:val="28"/>
          <w:szCs w:val="28"/>
          <w:highlight w:val="none"/>
          <w:lang w:val="en-US" w:eastAsia="zh-CN"/>
        </w:rPr>
        <w:t>虽然</w:t>
      </w:r>
      <w:r>
        <w:rPr>
          <w:rFonts w:hint="eastAsia" w:ascii="宋体" w:hAnsi="宋体" w:eastAsia="宋体" w:cs="宋体"/>
          <w:b w:val="0"/>
          <w:bCs w:val="0"/>
          <w:sz w:val="28"/>
          <w:szCs w:val="28"/>
          <w:highlight w:val="none"/>
          <w:lang w:val="en-US" w:eastAsia="zh-CN"/>
        </w:rPr>
        <w:t>沙门氏菌、金黄色葡萄球菌、副溶血性弧菌、单核细胞增生李斯特氏菌</w:t>
      </w:r>
      <w:r>
        <w:rPr>
          <w:rFonts w:hint="default" w:ascii="宋体" w:hAnsi="宋体" w:eastAsia="宋体" w:cs="宋体"/>
          <w:b w:val="0"/>
          <w:bCs w:val="0"/>
          <w:sz w:val="28"/>
          <w:szCs w:val="28"/>
          <w:highlight w:val="none"/>
          <w:lang w:val="en-US" w:eastAsia="zh-CN"/>
        </w:rPr>
        <w:t>菌种</w:t>
      </w:r>
      <w:r>
        <w:rPr>
          <w:rFonts w:hint="eastAsia" w:ascii="宋体" w:hAnsi="宋体" w:eastAsia="宋体" w:cs="宋体"/>
          <w:b w:val="0"/>
          <w:bCs w:val="0"/>
          <w:sz w:val="28"/>
          <w:szCs w:val="28"/>
          <w:highlight w:val="none"/>
          <w:lang w:val="en-US" w:eastAsia="zh-CN"/>
        </w:rPr>
        <w:t>等常见致病菌对人体健康存在威胁</w:t>
      </w:r>
      <w:r>
        <w:rPr>
          <w:rFonts w:hint="default" w:ascii="宋体" w:hAnsi="宋体" w:eastAsia="宋体" w:cs="宋体"/>
          <w:b w:val="0"/>
          <w:bCs w:val="0"/>
          <w:sz w:val="28"/>
          <w:szCs w:val="28"/>
          <w:highlight w:val="none"/>
          <w:lang w:val="en-US" w:eastAsia="zh-CN"/>
        </w:rPr>
        <w:t>，但冻煮金枪鱼肉产品在加工过程中，经过65℃蒸煮，在一定程度上杀灭了部分微生物</w:t>
      </w:r>
      <w:r>
        <w:rPr>
          <w:rFonts w:hint="eastAsia" w:ascii="宋体" w:hAnsi="宋体" w:eastAsia="宋体" w:cs="宋体"/>
          <w:b w:val="0"/>
          <w:bCs w:val="0"/>
          <w:sz w:val="28"/>
          <w:szCs w:val="28"/>
          <w:highlight w:val="none"/>
          <w:lang w:val="en-US" w:eastAsia="zh-CN"/>
        </w:rPr>
        <w:t>；通过冷冻、速冻以及冷链储运等要求，低温环境可使致病菌停止繁殖及产生毒素；同时</w:t>
      </w:r>
      <w:r>
        <w:rPr>
          <w:rFonts w:hint="default" w:ascii="宋体" w:hAnsi="宋体" w:eastAsia="宋体" w:cs="宋体"/>
          <w:b w:val="0"/>
          <w:bCs w:val="0"/>
          <w:sz w:val="28"/>
          <w:szCs w:val="28"/>
          <w:highlight w:val="none"/>
          <w:lang w:val="en-US" w:eastAsia="zh-CN"/>
        </w:rPr>
        <w:t>该产品非即食，</w:t>
      </w:r>
      <w:r>
        <w:rPr>
          <w:rFonts w:hint="eastAsia" w:ascii="宋体" w:hAnsi="宋体" w:eastAsia="宋体" w:cs="宋体"/>
          <w:b w:val="0"/>
          <w:bCs w:val="0"/>
          <w:sz w:val="28"/>
          <w:szCs w:val="28"/>
          <w:highlight w:val="none"/>
          <w:lang w:val="en-US" w:eastAsia="zh-CN"/>
        </w:rPr>
        <w:t>无论是</w:t>
      </w:r>
      <w:r>
        <w:rPr>
          <w:rFonts w:hint="default" w:ascii="宋体" w:hAnsi="宋体" w:eastAsia="宋体" w:cs="宋体"/>
          <w:b w:val="0"/>
          <w:bCs w:val="0"/>
          <w:sz w:val="28"/>
          <w:szCs w:val="28"/>
          <w:highlight w:val="none"/>
          <w:lang w:val="en-US" w:eastAsia="zh-CN"/>
        </w:rPr>
        <w:t>消费者</w:t>
      </w:r>
      <w:r>
        <w:rPr>
          <w:rFonts w:hint="eastAsia" w:ascii="宋体" w:hAnsi="宋体" w:eastAsia="宋体" w:cs="宋体"/>
          <w:b w:val="0"/>
          <w:bCs w:val="0"/>
          <w:sz w:val="28"/>
          <w:szCs w:val="28"/>
          <w:highlight w:val="none"/>
          <w:lang w:val="en-US" w:eastAsia="zh-CN"/>
        </w:rPr>
        <w:t>还是行业下游企业都会做再次加工处理</w:t>
      </w:r>
      <w:r>
        <w:rPr>
          <w:rFonts w:hint="default" w:ascii="宋体" w:hAnsi="宋体" w:eastAsia="宋体" w:cs="宋体"/>
          <w:b w:val="0"/>
          <w:bCs w:val="0"/>
          <w:sz w:val="28"/>
          <w:szCs w:val="28"/>
          <w:highlight w:val="none"/>
          <w:lang w:val="en-US" w:eastAsia="zh-CN"/>
        </w:rPr>
        <w:t>，进一步降低了</w:t>
      </w:r>
      <w:r>
        <w:rPr>
          <w:rFonts w:hint="eastAsia" w:ascii="宋体" w:hAnsi="宋体" w:eastAsia="宋体" w:cs="宋体"/>
          <w:b w:val="0"/>
          <w:bCs w:val="0"/>
          <w:sz w:val="28"/>
          <w:szCs w:val="28"/>
          <w:highlight w:val="none"/>
          <w:lang w:val="en-US" w:eastAsia="zh-CN"/>
        </w:rPr>
        <w:t>食源性致病</w:t>
      </w:r>
      <w:r>
        <w:rPr>
          <w:rFonts w:hint="default" w:ascii="宋体" w:hAnsi="宋体" w:eastAsia="宋体" w:cs="宋体"/>
          <w:b w:val="0"/>
          <w:bCs w:val="0"/>
          <w:sz w:val="28"/>
          <w:szCs w:val="28"/>
          <w:highlight w:val="none"/>
          <w:lang w:val="en-US" w:eastAsia="zh-CN"/>
        </w:rPr>
        <w:t>风险。</w:t>
      </w:r>
    </w:p>
    <w:p w14:paraId="3ED387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冻煮金枪鱼肉在出口时，海关为确保产品质量安全，会结合进口国标准、风险预警等进行抽检，各企业出于风险规避考虑，也会自行监测相关指标。多家企业冻煮金枪鱼肉产品的质检报告显示（见附件），相关致病菌均未检出，菌落总数和大肠杆菌等也控制在安全范围。</w:t>
      </w:r>
    </w:p>
    <w:p w14:paraId="7EE1C5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综上，本标准中未设置微生物（致病菌）限量要求。</w:t>
      </w:r>
    </w:p>
    <w:p w14:paraId="0454EB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kern w:val="2"/>
          <w:sz w:val="28"/>
          <w:szCs w:val="28"/>
          <w:lang w:val="en-US" w:eastAsia="zh-CN" w:bidi="ar-SA"/>
        </w:rPr>
        <w:t>三、</w:t>
      </w:r>
      <w:r>
        <w:rPr>
          <w:rFonts w:hint="eastAsia" w:ascii="方正小标宋简体" w:hAnsi="方正小标宋简体" w:eastAsia="方正小标宋简体" w:cs="方正小标宋简体"/>
          <w:sz w:val="28"/>
          <w:szCs w:val="28"/>
          <w:lang w:val="en-US" w:eastAsia="zh-CN"/>
        </w:rPr>
        <w:t>试验验证的分析、综述报告，技术经济论证，预期效益分析</w:t>
      </w:r>
    </w:p>
    <w:p w14:paraId="793C77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0"/>
        <w:textAlignment w:val="auto"/>
        <w:rPr>
          <w:rFonts w:hint="default"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本标准未开展专门的试验验证，由企业自检报告和第三方检测报告作为相关指标验证依据。本标准的制定，预期产生以下效益：</w:t>
      </w:r>
    </w:p>
    <w:p w14:paraId="6AA3BA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0"/>
        <w:textAlignment w:val="auto"/>
        <w:rPr>
          <w:rFonts w:hint="eastAsia" w:ascii="宋体" w:hAnsi="宋体" w:eastAsia="宋体" w:cs="宋体"/>
          <w:b w:val="0"/>
          <w:bCs w:val="0"/>
          <w:sz w:val="28"/>
          <w:szCs w:val="28"/>
          <w:lang w:val="en-US" w:eastAsia="zh-CN"/>
        </w:rPr>
      </w:pPr>
      <w:r>
        <w:rPr>
          <w:rFonts w:hint="eastAsia" w:ascii="宋体" w:hAnsi="宋体" w:eastAsia="宋体" w:cs="宋体"/>
          <w:b/>
          <w:bCs/>
          <w:kern w:val="2"/>
          <w:sz w:val="28"/>
          <w:szCs w:val="28"/>
          <w:lang w:val="en-US" w:eastAsia="zh-CN" w:bidi="ar-SA"/>
        </w:rPr>
        <w:t>1.</w:t>
      </w:r>
      <w:r>
        <w:rPr>
          <w:rFonts w:hint="eastAsia" w:ascii="宋体" w:hAnsi="宋体" w:eastAsia="宋体" w:cs="宋体"/>
          <w:b/>
          <w:bCs/>
          <w:sz w:val="28"/>
          <w:szCs w:val="28"/>
          <w:lang w:val="en-US" w:eastAsia="zh-CN"/>
        </w:rPr>
        <w:t>填补标准空白。</w:t>
      </w:r>
      <w:r>
        <w:rPr>
          <w:rFonts w:hint="eastAsia" w:ascii="宋体" w:hAnsi="宋体" w:eastAsia="宋体" w:cs="宋体"/>
          <w:b w:val="0"/>
          <w:bCs w:val="0"/>
          <w:sz w:val="28"/>
          <w:szCs w:val="28"/>
          <w:lang w:val="en-US" w:eastAsia="zh-CN"/>
        </w:rPr>
        <w:t>在冻煮金枪鱼肉产品的原料筛选、工艺控制、质量检测等方面，为企业生产提供指导，提高企业生产效率与产品良品率，为行业树立质量标杆。</w:t>
      </w:r>
    </w:p>
    <w:p w14:paraId="5E3D08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bCs/>
          <w:kern w:val="2"/>
          <w:sz w:val="28"/>
          <w:szCs w:val="28"/>
          <w:lang w:val="en-US" w:eastAsia="zh-CN" w:bidi="ar-SA"/>
        </w:rPr>
        <w:t>2.</w:t>
      </w:r>
      <w:r>
        <w:rPr>
          <w:rFonts w:hint="eastAsia" w:ascii="宋体" w:hAnsi="宋体" w:eastAsia="宋体" w:cs="宋体"/>
          <w:b/>
          <w:bCs/>
          <w:sz w:val="28"/>
          <w:szCs w:val="28"/>
          <w:lang w:val="en-US" w:eastAsia="zh-CN"/>
        </w:rPr>
        <w:t>推动产业发展。</w:t>
      </w:r>
      <w:r>
        <w:rPr>
          <w:rFonts w:hint="eastAsia" w:ascii="宋体" w:hAnsi="宋体" w:eastAsia="宋体" w:cs="宋体"/>
          <w:b w:val="0"/>
          <w:bCs w:val="0"/>
          <w:sz w:val="28"/>
          <w:szCs w:val="28"/>
          <w:lang w:val="en-US" w:eastAsia="zh-CN"/>
        </w:rPr>
        <w:t>通过优化上下游产业协同，打破信息壁垒，形成高效联动的产业链条，助力形成以标准引领创新、以质量驱动发展的产业新生态，为中国水产品行业的可持续发展注入持久动能。</w:t>
      </w:r>
    </w:p>
    <w:p w14:paraId="12F05CA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kern w:val="2"/>
          <w:sz w:val="28"/>
          <w:szCs w:val="28"/>
          <w:lang w:val="en-US" w:eastAsia="zh-CN" w:bidi="ar-SA"/>
        </w:rPr>
        <w:t>四、</w:t>
      </w:r>
      <w:r>
        <w:rPr>
          <w:rFonts w:hint="eastAsia" w:ascii="方正小标宋简体" w:hAnsi="方正小标宋简体" w:eastAsia="方正小标宋简体" w:cs="方正小标宋简体"/>
          <w:sz w:val="28"/>
          <w:szCs w:val="28"/>
          <w:lang w:val="en-US" w:eastAsia="zh-CN"/>
        </w:rPr>
        <w:t>与国际、国外同类标准技术内容的对比情况</w:t>
      </w:r>
    </w:p>
    <w:p w14:paraId="1DB6089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1.原料鱼品种</w:t>
      </w:r>
    </w:p>
    <w:p w14:paraId="057FC9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本标准中原料鱼品种引用GB/T 24403—2023《金枪鱼罐头质量通则》附录A原料品种，该部分与国际食品法典委员会CXS 70—1981（2018）《金枪鱼和鲣鱼罐头标准》中的原料品种一致。</w:t>
      </w:r>
    </w:p>
    <w:p w14:paraId="6F6A809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2.组胺</w:t>
      </w:r>
    </w:p>
    <w:p w14:paraId="0D031D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本标准理化指标中组胺的限值为5.0mg/100g，严于</w:t>
      </w:r>
      <w:r>
        <w:rPr>
          <w:rFonts w:hint="default" w:ascii="宋体" w:hAnsi="宋体" w:eastAsia="宋体" w:cs="宋体"/>
          <w:b w:val="0"/>
          <w:bCs w:val="0"/>
          <w:sz w:val="28"/>
          <w:szCs w:val="28"/>
          <w:lang w:val="en-US" w:eastAsia="zh-CN"/>
        </w:rPr>
        <w:t>CXS 36-1981（2017）《国际食品法典标准 速冻去内脏和未去内脏鱼》</w:t>
      </w:r>
      <w:r>
        <w:rPr>
          <w:rFonts w:hint="eastAsia" w:ascii="宋体" w:hAnsi="宋体" w:eastAsia="宋体" w:cs="宋体"/>
          <w:b w:val="0"/>
          <w:bCs w:val="0"/>
          <w:sz w:val="28"/>
          <w:szCs w:val="28"/>
          <w:lang w:val="en-US" w:eastAsia="zh-CN"/>
        </w:rPr>
        <w:t>中20mg/100g限值要求，严于欧盟委员会2073/2005号法规中10mg/100g限值要求，与美国联邦法规第21卷第123部分《水产和水产品加工和进口的安全与卫生程序》中原50mg/kg限值要求一致。组胺的试验方法采用AOAC 977.13《海产品中组胺的荧光测定法》，对标CAC和FDA要求（见表4）。</w:t>
      </w:r>
    </w:p>
    <w:p w14:paraId="26006A7A">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0" w:firstLineChars="0"/>
        <w:textAlignment w:val="auto"/>
        <w:rPr>
          <w:rFonts w:hint="eastAsia" w:ascii="方正小标宋简体" w:hAnsi="方正小标宋简体" w:eastAsia="方正小标宋简体" w:cs="方正小标宋简体"/>
          <w:kern w:val="2"/>
          <w:sz w:val="28"/>
          <w:szCs w:val="28"/>
          <w:lang w:val="en-US" w:eastAsia="zh-CN" w:bidi="ar-SA"/>
        </w:rPr>
      </w:pPr>
      <w:r>
        <w:rPr>
          <w:rFonts w:hint="eastAsia" w:ascii="方正小标宋简体" w:hAnsi="方正小标宋简体" w:eastAsia="方正小标宋简体" w:cs="方正小标宋简体"/>
          <w:kern w:val="2"/>
          <w:sz w:val="28"/>
          <w:szCs w:val="28"/>
          <w:lang w:val="en-US" w:eastAsia="zh-CN" w:bidi="ar-SA"/>
        </w:rPr>
        <w:t>以国际标准为基础的起草情况，以及是否合规引用或者采用国际国外标准，并说明未采用国际标准的原因</w:t>
      </w:r>
    </w:p>
    <w:p w14:paraId="2808497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本文件第二部分（三）标准编制依据3.主要技术内容的确定，4.关键技术指标的确定和第四部分已作情况说明，不做赘述。</w:t>
      </w:r>
    </w:p>
    <w:p w14:paraId="3AA89E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kern w:val="2"/>
          <w:sz w:val="28"/>
          <w:szCs w:val="28"/>
          <w:lang w:val="en-US" w:eastAsia="zh-CN" w:bidi="ar-SA"/>
        </w:rPr>
        <w:t>六、</w:t>
      </w:r>
      <w:r>
        <w:rPr>
          <w:rFonts w:hint="eastAsia" w:ascii="方正小标宋简体" w:hAnsi="方正小标宋简体" w:eastAsia="方正小标宋简体" w:cs="方正小标宋简体"/>
          <w:sz w:val="28"/>
          <w:szCs w:val="28"/>
          <w:lang w:val="en-US" w:eastAsia="zh-CN"/>
        </w:rPr>
        <w:t>与现行有关法律法规及</w:t>
      </w:r>
      <w:r>
        <w:rPr>
          <w:rFonts w:hint="eastAsia" w:ascii="方正小标宋简体" w:hAnsi="方正小标宋简体" w:eastAsia="方正小标宋简体" w:cs="方正小标宋简体"/>
          <w:sz w:val="28"/>
          <w:szCs w:val="28"/>
        </w:rPr>
        <w:t>相关标准的协调性</w:t>
      </w:r>
    </w:p>
    <w:p w14:paraId="56CA9AD1">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（一）</w:t>
      </w:r>
      <w:r>
        <w:rPr>
          <w:rFonts w:hint="eastAsia" w:ascii="宋体" w:hAnsi="宋体" w:eastAsia="宋体" w:cs="宋体"/>
          <w:b/>
          <w:bCs/>
          <w:sz w:val="28"/>
          <w:szCs w:val="28"/>
          <w:lang w:val="en-US" w:eastAsia="zh-CN"/>
        </w:rPr>
        <w:t>与有关法律法规的协调性</w:t>
      </w:r>
    </w:p>
    <w:p w14:paraId="7273CA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default" w:ascii="宋体" w:hAnsi="宋体" w:eastAsia="宋体" w:cs="宋体"/>
          <w:b/>
          <w:bCs/>
          <w:sz w:val="28"/>
          <w:szCs w:val="28"/>
          <w:lang w:val="en-US" w:eastAsia="zh-CN"/>
        </w:rPr>
      </w:pPr>
      <w:r>
        <w:rPr>
          <w:rFonts w:hint="eastAsia" w:ascii="宋体" w:hAnsi="宋体" w:eastAsia="宋体" w:cs="宋体"/>
          <w:b w:val="0"/>
          <w:bCs w:val="0"/>
          <w:sz w:val="28"/>
          <w:szCs w:val="28"/>
          <w:lang w:val="en-US" w:eastAsia="zh-CN"/>
        </w:rPr>
        <w:t>本标准在编制过程中，严格遵守《中华人民共和国标准化法》《中华人民共和国食品安全法》《中华人民共和国 农产品质量安全法》《中华人民共和国进出口食品安全管理办法》《食品标识监督管理办法》等法律法规及政策文件的要求。</w:t>
      </w:r>
    </w:p>
    <w:p w14:paraId="717E608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（二）</w:t>
      </w:r>
      <w:r>
        <w:rPr>
          <w:rFonts w:hint="eastAsia" w:ascii="宋体" w:hAnsi="宋体" w:eastAsia="宋体" w:cs="宋体"/>
          <w:b/>
          <w:bCs/>
          <w:sz w:val="28"/>
          <w:szCs w:val="28"/>
          <w:lang w:val="en-US" w:eastAsia="zh-CN"/>
        </w:rPr>
        <w:t>与相关标准的协调性</w:t>
      </w:r>
    </w:p>
    <w:p w14:paraId="77F56B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560" w:leftChars="0" w:firstLine="0" w:firstLineChars="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1.</w:t>
      </w:r>
      <w:r>
        <w:rPr>
          <w:rFonts w:hint="eastAsia" w:ascii="宋体" w:hAnsi="宋体" w:eastAsia="宋体" w:cs="宋体"/>
          <w:b/>
          <w:bCs/>
          <w:sz w:val="28"/>
          <w:szCs w:val="28"/>
          <w:lang w:val="en-US" w:eastAsia="zh-CN"/>
        </w:rPr>
        <w:t>与相关强制性国家标准的协调性</w:t>
      </w:r>
    </w:p>
    <w:p w14:paraId="6D4C79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本标准与GB 2733—2015《食品安全国家标准 鲜、冻动物性水产品》、GB 2762—2022《食品安全国家标准 食品中污染物限量》、GB 5009.44—2016《食品安全国家标准 食品中氯化物的测定》、GB 5009.208—2016《食品安全国家标准 食品中生物胺的测定》、GB 5749—2022《生活饮用水卫生标准》、GB 7718—2025《食品安全国家标准 预包装食品标签通则》、GB 10136—2015《食品安全国家标准 动物性水产制品》、GB 28050—2025《食品安全国家标准 预包装食品营养标签通则》、JJF 1070《定量包装商品净含量计量检验规则》等强制性标准相协调。</w:t>
      </w:r>
    </w:p>
    <w:p w14:paraId="5C59C8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560" w:leftChars="0" w:firstLine="0" w:firstLineChars="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2.与相关推荐性</w:t>
      </w:r>
      <w:r>
        <w:rPr>
          <w:rFonts w:hint="eastAsia" w:ascii="宋体" w:hAnsi="宋体" w:eastAsia="宋体" w:cs="宋体"/>
          <w:b/>
          <w:bCs/>
          <w:sz w:val="28"/>
          <w:szCs w:val="28"/>
          <w:lang w:val="en-US" w:eastAsia="zh-CN"/>
        </w:rPr>
        <w:t>国家标准的协调性</w:t>
      </w:r>
    </w:p>
    <w:p w14:paraId="4C0D00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本标准与GB/T 18108—2024《鲜海水鱼通则》、GB/T 18109—2024《冻鱼》、GB/T 24403—2023《金枪鱼罐头质量通则》、</w:t>
      </w:r>
      <w:r>
        <w:rPr>
          <w:rFonts w:hint="default" w:ascii="宋体" w:hAnsi="宋体" w:eastAsia="宋体" w:cs="宋体"/>
          <w:b w:val="0"/>
          <w:bCs w:val="0"/>
          <w:sz w:val="28"/>
          <w:szCs w:val="28"/>
          <w:lang w:val="en-US" w:eastAsia="zh-CN"/>
        </w:rPr>
        <w:t>GB/T 37062</w:t>
      </w:r>
      <w:r>
        <w:rPr>
          <w:rFonts w:hint="eastAsia" w:ascii="宋体" w:hAnsi="宋体" w:eastAsia="宋体" w:cs="宋体"/>
          <w:b w:val="0"/>
          <w:bCs w:val="0"/>
          <w:sz w:val="28"/>
          <w:szCs w:val="28"/>
          <w:lang w:val="en-US" w:eastAsia="zh-CN"/>
        </w:rPr>
        <w:t>—</w:t>
      </w:r>
      <w:r>
        <w:rPr>
          <w:rFonts w:hint="default" w:ascii="宋体" w:hAnsi="宋体" w:eastAsia="宋体" w:cs="宋体"/>
          <w:b w:val="0"/>
          <w:bCs w:val="0"/>
          <w:sz w:val="28"/>
          <w:szCs w:val="28"/>
          <w:lang w:val="en-US" w:eastAsia="zh-CN"/>
        </w:rPr>
        <w:t>2018</w:t>
      </w:r>
      <w:r>
        <w:rPr>
          <w:rFonts w:hint="eastAsia" w:ascii="宋体" w:hAnsi="宋体" w:eastAsia="宋体" w:cs="宋体"/>
          <w:b w:val="0"/>
          <w:bCs w:val="0"/>
          <w:sz w:val="28"/>
          <w:szCs w:val="28"/>
          <w:lang w:val="en-US" w:eastAsia="zh-CN"/>
        </w:rPr>
        <w:t>《水产品感官评价指南》等标准相协调。本标准中第4章、第5章中，感官要求基于上述标准指标要求进行了补充；理化指标中心温度及其检验方法等与上述标准一致，氯化钠、组胺指标高于上述标准要求。</w:t>
      </w:r>
    </w:p>
    <w:p w14:paraId="24A0B2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560" w:leftChars="0"/>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3.</w:t>
      </w:r>
      <w:r>
        <w:rPr>
          <w:rFonts w:hint="eastAsia" w:ascii="宋体" w:hAnsi="宋体" w:eastAsia="宋体" w:cs="宋体"/>
          <w:b/>
          <w:bCs/>
          <w:sz w:val="28"/>
          <w:szCs w:val="28"/>
          <w:lang w:val="en-US" w:eastAsia="zh-CN"/>
        </w:rPr>
        <w:t>与相关行业标准的协调性</w:t>
      </w:r>
    </w:p>
    <w:p w14:paraId="2FCA0C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本标准与</w:t>
      </w:r>
      <w:r>
        <w:rPr>
          <w:rFonts w:hint="default" w:ascii="宋体" w:hAnsi="宋体" w:eastAsia="宋体" w:cs="宋体"/>
          <w:b w:val="0"/>
          <w:bCs w:val="0"/>
          <w:sz w:val="28"/>
          <w:szCs w:val="28"/>
          <w:lang w:val="en-US" w:eastAsia="zh-CN"/>
        </w:rPr>
        <w:t>SC/T 3035</w:t>
      </w:r>
      <w:r>
        <w:rPr>
          <w:rFonts w:hint="eastAsia" w:ascii="宋体" w:hAnsi="宋体" w:eastAsia="宋体" w:cs="宋体"/>
          <w:b w:val="0"/>
          <w:bCs w:val="0"/>
          <w:sz w:val="28"/>
          <w:szCs w:val="28"/>
          <w:lang w:val="en-US" w:eastAsia="zh-CN"/>
        </w:rPr>
        <w:t>—</w:t>
      </w:r>
      <w:r>
        <w:rPr>
          <w:rFonts w:hint="default" w:ascii="宋体" w:hAnsi="宋体" w:eastAsia="宋体" w:cs="宋体"/>
          <w:b w:val="0"/>
          <w:bCs w:val="0"/>
          <w:sz w:val="28"/>
          <w:szCs w:val="28"/>
          <w:lang w:val="en-US" w:eastAsia="zh-CN"/>
        </w:rPr>
        <w:t>2018</w:t>
      </w:r>
      <w:r>
        <w:rPr>
          <w:rFonts w:hint="eastAsia" w:ascii="宋体" w:hAnsi="宋体" w:eastAsia="宋体" w:cs="宋体"/>
          <w:b w:val="0"/>
          <w:bCs w:val="0"/>
          <w:sz w:val="28"/>
          <w:szCs w:val="28"/>
          <w:lang w:val="en-US" w:eastAsia="zh-CN"/>
        </w:rPr>
        <w:t>《水产品包装、标识通则》、SC/T 3058—2023《金枪鱼冷藏、冻藏操作规程》等标准相协调。本标准第9章中，标识、包装基于上述标准的基本要求，并增加“是否即食、原料品种、部位”等标识建议；本标准原料鱼和产品的运输贮存温度≤-18℃，与上述标准的陆上冷藏部分基本要求一致。</w:t>
      </w:r>
    </w:p>
    <w:p w14:paraId="090D7E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4.与相关地方标准的协调性</w:t>
      </w:r>
    </w:p>
    <w:p w14:paraId="207A66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本标准与DB44/T 2306—2021《金枪鱼保鲜技术规范》等标准相协调。该标准规定了海洋捕捞鲭科金枪鱼保鲜的基本要求、船上保鲜、装卸、陆上保鲜、运输等内容，本标准通过规定原料鱼感官、理化、污染物等验收指标做生产前端保障，以产品感官、理化、污染物等检验指标、冷链储运等措施来达到产品保鲜的效果，与上述标准不存在矛盾冲突。</w:t>
      </w:r>
    </w:p>
    <w:p w14:paraId="0BBE45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kern w:val="2"/>
          <w:sz w:val="28"/>
          <w:szCs w:val="28"/>
          <w:lang w:val="en-US" w:eastAsia="zh-CN" w:bidi="ar-SA"/>
        </w:rPr>
        <w:t>七、</w:t>
      </w:r>
      <w:r>
        <w:rPr>
          <w:rFonts w:hint="eastAsia" w:ascii="方正小标宋简体" w:hAnsi="方正小标宋简体" w:eastAsia="方正小标宋简体" w:cs="方正小标宋简体"/>
          <w:sz w:val="28"/>
          <w:szCs w:val="28"/>
          <w:lang w:val="en-US" w:eastAsia="zh-CN"/>
        </w:rPr>
        <w:t>重大意见</w:t>
      </w:r>
      <w:r>
        <w:rPr>
          <w:rFonts w:hint="eastAsia" w:ascii="方正小标宋简体" w:hAnsi="方正小标宋简体" w:eastAsia="方正小标宋简体" w:cs="方正小标宋简体"/>
          <w:sz w:val="28"/>
          <w:szCs w:val="28"/>
        </w:rPr>
        <w:t>分歧的处理经过和依据</w:t>
      </w:r>
    </w:p>
    <w:p w14:paraId="431DF433">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本标准在制定过程中，广泛征求和听取了管理、科研、教学、技术推广部门专家和生产企业等相关方的意见，基于标准编制原则协商一致，不存在重大意见分歧。</w:t>
      </w:r>
    </w:p>
    <w:p w14:paraId="1C225F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kern w:val="2"/>
          <w:sz w:val="28"/>
          <w:szCs w:val="28"/>
          <w:lang w:val="en-US" w:eastAsia="zh-CN" w:bidi="ar-SA"/>
        </w:rPr>
        <w:t>八、</w:t>
      </w:r>
      <w:r>
        <w:rPr>
          <w:rFonts w:hint="eastAsia" w:ascii="方正小标宋简体" w:hAnsi="方正小标宋简体" w:eastAsia="方正小标宋简体" w:cs="方正小标宋简体"/>
          <w:sz w:val="28"/>
          <w:szCs w:val="28"/>
          <w:lang w:val="en-US" w:eastAsia="zh-CN"/>
        </w:rPr>
        <w:t>涉及专利的有关说明</w:t>
      </w:r>
    </w:p>
    <w:p w14:paraId="61AF3C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以“金枪鱼鱼柳”为关键词在国家知识产权局中国专利公布公告网站（http://epub.cnipa.gov.cn/）的检索结果见图3。本标准内容不涉及加工过程工艺细节和技术要求，不涉及任何专利问题。</w:t>
      </w:r>
    </w:p>
    <w:p w14:paraId="314730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pPr>
      <w:r>
        <w:drawing>
          <wp:inline distT="0" distB="0" distL="114300" distR="114300">
            <wp:extent cx="5267960" cy="2893060"/>
            <wp:effectExtent l="0" t="0" r="2540" b="254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5267960" cy="2893060"/>
                    </a:xfrm>
                    <a:prstGeom prst="rect">
                      <a:avLst/>
                    </a:prstGeom>
                    <a:noFill/>
                    <a:ln>
                      <a:noFill/>
                    </a:ln>
                  </pic:spPr>
                </pic:pic>
              </a:graphicData>
            </a:graphic>
          </wp:inline>
        </w:drawing>
      </w:r>
    </w:p>
    <w:p w14:paraId="444AAC0F">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eastAsia="黑体"/>
          <w:lang w:val="en-US" w:eastAsia="zh-CN"/>
        </w:rPr>
      </w:pPr>
      <w:r>
        <w:t xml:space="preserve">图 </w:t>
      </w:r>
      <w:r>
        <w:rPr>
          <w:rFonts w:hint="eastAsia"/>
          <w:lang w:val="en-US" w:eastAsia="zh-CN"/>
        </w:rPr>
        <w:t>3 专利检索结果</w:t>
      </w:r>
    </w:p>
    <w:p w14:paraId="615970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kern w:val="2"/>
          <w:sz w:val="28"/>
          <w:szCs w:val="28"/>
          <w:lang w:val="en-US" w:eastAsia="zh-CN" w:bidi="ar-SA"/>
        </w:rPr>
        <w:t>九、</w:t>
      </w:r>
      <w:r>
        <w:rPr>
          <w:rFonts w:hint="eastAsia" w:ascii="方正小标宋简体" w:hAnsi="方正小标宋简体" w:eastAsia="方正小标宋简体" w:cs="方正小标宋简体"/>
          <w:sz w:val="28"/>
          <w:szCs w:val="28"/>
        </w:rPr>
        <w:t>贯彻</w:t>
      </w:r>
      <w:r>
        <w:rPr>
          <w:rFonts w:hint="eastAsia" w:ascii="方正小标宋简体" w:hAnsi="方正小标宋简体" w:eastAsia="方正小标宋简体" w:cs="方正小标宋简体"/>
          <w:sz w:val="28"/>
          <w:szCs w:val="28"/>
          <w:lang w:val="en-US" w:eastAsia="zh-CN"/>
        </w:rPr>
        <w:t>实施</w:t>
      </w:r>
      <w:r>
        <w:rPr>
          <w:rFonts w:hint="eastAsia" w:ascii="方正小标宋简体" w:hAnsi="方正小标宋简体" w:eastAsia="方正小标宋简体" w:cs="方正小标宋简体"/>
          <w:sz w:val="28"/>
          <w:szCs w:val="28"/>
        </w:rPr>
        <w:t>标准的要求和措施建议</w:t>
      </w:r>
    </w:p>
    <w:p w14:paraId="2935851F">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firstLine="560" w:firstLineChars="200"/>
        <w:textAlignment w:val="auto"/>
        <w:rPr>
          <w:rFonts w:hint="default" w:ascii="方正小标宋简体" w:hAnsi="方正小标宋简体" w:eastAsia="方正小标宋简体" w:cs="方正小标宋简体"/>
          <w:sz w:val="28"/>
          <w:szCs w:val="28"/>
          <w:lang w:val="en-US" w:eastAsia="zh-CN"/>
        </w:rPr>
      </w:pPr>
      <w:r>
        <w:rPr>
          <w:rFonts w:hint="eastAsia" w:ascii="宋体" w:hAnsi="宋体" w:eastAsia="宋体" w:cs="宋体"/>
          <w:b w:val="0"/>
          <w:bCs w:val="0"/>
          <w:sz w:val="28"/>
          <w:szCs w:val="28"/>
          <w:lang w:val="en-US" w:eastAsia="zh-CN"/>
        </w:rPr>
        <w:t>本标准拟作为中国水产学会团体标准进行发布，为推荐性标准。建议在团体成员单位范围内先行实施推广，通过实施结果和反馈持续优化标准内容。</w:t>
      </w:r>
    </w:p>
    <w:p w14:paraId="702F51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kern w:val="2"/>
          <w:sz w:val="28"/>
          <w:szCs w:val="28"/>
          <w:lang w:val="en-US" w:eastAsia="zh-CN" w:bidi="ar-SA"/>
        </w:rPr>
        <w:t>十、</w:t>
      </w:r>
      <w:r>
        <w:rPr>
          <w:rFonts w:hint="eastAsia" w:ascii="方正小标宋简体" w:hAnsi="方正小标宋简体" w:eastAsia="方正小标宋简体" w:cs="方正小标宋简体"/>
          <w:sz w:val="28"/>
          <w:szCs w:val="28"/>
        </w:rPr>
        <w:t>其他应予说明的事项</w:t>
      </w:r>
    </w:p>
    <w:p w14:paraId="46DE1708">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无。</w:t>
      </w:r>
    </w:p>
    <w:p w14:paraId="24DEE151">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sz w:val="28"/>
          <w:szCs w:val="28"/>
          <w:lang w:val="en-US" w:eastAsia="zh-CN"/>
        </w:rPr>
      </w:pPr>
    </w:p>
    <w:p w14:paraId="56849373">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firstLine="560" w:firstLineChars="200"/>
        <w:jc w:val="righ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《冻煮金枪鱼肉》团体标准编写工作组</w:t>
      </w:r>
    </w:p>
    <w:p w14:paraId="0587AA20">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firstLine="560" w:firstLineChars="200"/>
        <w:jc w:val="right"/>
        <w:textAlignment w:val="auto"/>
        <w:rPr>
          <w:rFonts w:hint="eastAsia" w:ascii="宋体" w:hAnsi="宋体" w:eastAsia="宋体" w:cs="宋体"/>
          <w:b w:val="0"/>
          <w:bCs w:val="0"/>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val="0"/>
          <w:bCs w:val="0"/>
          <w:sz w:val="28"/>
          <w:szCs w:val="28"/>
          <w:lang w:val="en-US" w:eastAsia="zh-CN"/>
        </w:rPr>
        <w:t>2025年7月10日</w:t>
      </w:r>
    </w:p>
    <w:p w14:paraId="2A0178F8">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firstLine="0" w:firstLineChars="0"/>
        <w:jc w:val="left"/>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附件</w:t>
      </w:r>
    </w:p>
    <w:p w14:paraId="5075C95B">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firstLine="0" w:firstLineChars="0"/>
        <w:jc w:val="left"/>
        <w:textAlignment w:val="auto"/>
        <w:rPr>
          <w:rFonts w:hint="default" w:ascii="黑体" w:hAnsi="黑体" w:eastAsia="黑体" w:cs="黑体"/>
          <w:b w:val="0"/>
          <w:bCs w:val="0"/>
          <w:sz w:val="28"/>
          <w:szCs w:val="28"/>
          <w:lang w:val="en-US" w:eastAsia="zh-CN"/>
        </w:rPr>
      </w:pPr>
      <w:r>
        <w:rPr>
          <w:rFonts w:hint="default" w:ascii="黑体" w:hAnsi="黑体" w:eastAsia="黑体" w:cs="黑体"/>
          <w:b w:val="0"/>
          <w:bCs w:val="0"/>
          <w:kern w:val="2"/>
          <w:sz w:val="28"/>
          <w:szCs w:val="28"/>
          <w:lang w:val="en-US" w:eastAsia="zh-CN" w:bidi="ar-SA"/>
        </w:rPr>
        <w:t>（1）</w:t>
      </w:r>
      <w:r>
        <w:rPr>
          <w:rFonts w:hint="eastAsia" w:ascii="黑体" w:hAnsi="黑体" w:eastAsia="黑体" w:cs="黑体"/>
          <w:b w:val="0"/>
          <w:bCs w:val="0"/>
          <w:sz w:val="28"/>
          <w:szCs w:val="28"/>
          <w:lang w:val="en-US" w:eastAsia="zh-CN"/>
        </w:rPr>
        <w:t>大洋世家产品检验报告</w:t>
      </w:r>
    </w:p>
    <w:p w14:paraId="3C522273">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sz w:val="28"/>
          <w:szCs w:val="28"/>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967105</wp:posOffset>
                </wp:positionH>
                <wp:positionV relativeFrom="paragraph">
                  <wp:posOffset>3780790</wp:posOffset>
                </wp:positionV>
                <wp:extent cx="1905000" cy="2341880"/>
                <wp:effectExtent l="13970" t="13970" r="24130" b="19050"/>
                <wp:wrapNone/>
                <wp:docPr id="4" name="矩形 4"/>
                <wp:cNvGraphicFramePr/>
                <a:graphic xmlns:a="http://schemas.openxmlformats.org/drawingml/2006/main">
                  <a:graphicData uri="http://schemas.microsoft.com/office/word/2010/wordprocessingShape">
                    <wps:wsp>
                      <wps:cNvSpPr/>
                      <wps:spPr>
                        <a:xfrm>
                          <a:off x="2110105" y="4948555"/>
                          <a:ext cx="1905000" cy="234188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15pt;margin-top:297.7pt;height:184.4pt;width:150pt;z-index:251659264;v-text-anchor:middle;mso-width-relative:page;mso-height-relative:page;" filled="f" stroked="t" coordsize="21600,21600" o:gfxdata="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VpSTYAAAACwEAAA8AAAAAAAAAAQAgAAAAIgAAAGRy&#10;cy9kb3ducmV2LnhtbFBLAQIUABQAAAAIAIdO4kDBorredwIAANgEAAAOAAAAAAAAAAEAIAAAACcB&#10;AABkcnMvZTJvRG9jLnhtbFBLBQYAAAAABgAGAFkBAAAQBgAAAAA=&#10;">
                <v:fill on="f" focussize="0,0"/>
                <v:stroke weight="2.25pt" color="#FF0000 [2404]" miterlimit="8" joinstyle="miter"/>
                <v:imagedata o:title=""/>
                <o:lock v:ext="edit" aspectratio="f"/>
              </v:rect>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2953385</wp:posOffset>
                </wp:positionH>
                <wp:positionV relativeFrom="paragraph">
                  <wp:posOffset>4735195</wp:posOffset>
                </wp:positionV>
                <wp:extent cx="1381125" cy="342265"/>
                <wp:effectExtent l="13970" t="13970" r="14605" b="24765"/>
                <wp:wrapNone/>
                <wp:docPr id="5" name="矩形 5"/>
                <wp:cNvGraphicFramePr/>
                <a:graphic xmlns:a="http://schemas.openxmlformats.org/drawingml/2006/main">
                  <a:graphicData uri="http://schemas.microsoft.com/office/word/2010/wordprocessingShape">
                    <wps:wsp>
                      <wps:cNvSpPr/>
                      <wps:spPr>
                        <a:xfrm>
                          <a:off x="0" y="0"/>
                          <a:ext cx="1381125" cy="34226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55pt;margin-top:372.85pt;height:26.95pt;width:108.75pt;z-index:251660288;v-text-anchor:middle;mso-width-relative:page;mso-height-relative:page;" filled="f" stroked="t" coordsize="21600,21600" o:gfxdata="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IBp2doAAAALAQAADwAAAAAAAAABACAAAAAiAAAAZHJzL2Rvd25yZXYu&#10;eG1sUEsBAhQAFAAAAAgAh07iQMTAbytrAgAAywQAAA4AAAAAAAAAAQAgAAAAKQEAAGRycy9lMm9E&#10;b2MueG1sUEsFBgAAAAAGAAYAWQEAAAYGAAAAAA==&#10;">
                <v:fill on="f" focussize="0,0"/>
                <v:stroke weight="2.25pt" color="#FF0000 [2404]" miterlimit="8" joinstyle="miter"/>
                <v:imagedata o:title=""/>
                <o:lock v:ext="edit" aspectratio="f"/>
              </v:rect>
            </w:pict>
          </mc:Fallback>
        </mc:AlternateContent>
      </w:r>
      <w:r>
        <w:rPr>
          <w:rFonts w:hint="eastAsia" w:ascii="黑体" w:hAnsi="黑体" w:eastAsia="黑体" w:cs="黑体"/>
          <w:b w:val="0"/>
          <w:bCs w:val="0"/>
          <w:sz w:val="28"/>
          <w:szCs w:val="28"/>
          <w:lang w:val="en-US" w:eastAsia="zh-CN"/>
        </w:rPr>
        <w:drawing>
          <wp:inline distT="0" distB="0" distL="114300" distR="114300">
            <wp:extent cx="5128260" cy="75603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rcRect l="4811" t="1883" r="3870" b="2948"/>
                  </pic:blipFill>
                  <pic:spPr>
                    <a:xfrm>
                      <a:off x="0" y="0"/>
                      <a:ext cx="5128260" cy="7560310"/>
                    </a:xfrm>
                    <a:prstGeom prst="rect">
                      <a:avLst/>
                    </a:prstGeom>
                  </pic:spPr>
                </pic:pic>
              </a:graphicData>
            </a:graphic>
          </wp:inline>
        </w:drawing>
      </w:r>
    </w:p>
    <w:p w14:paraId="49091FF2">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firstLine="0" w:firstLineChars="0"/>
        <w:jc w:val="both"/>
        <w:textAlignment w:val="auto"/>
        <w:rPr>
          <w:rFonts w:hint="default" w:ascii="黑体" w:hAnsi="黑体" w:eastAsia="黑体" w:cs="黑体"/>
          <w:b w:val="0"/>
          <w:bCs w:val="0"/>
          <w:sz w:val="28"/>
          <w:szCs w:val="28"/>
          <w:lang w:val="en-US" w:eastAsia="zh-CN"/>
        </w:rPr>
        <w:sectPr>
          <w:pgSz w:w="11906" w:h="16838"/>
          <w:pgMar w:top="1440" w:right="1800" w:bottom="1440" w:left="1800" w:header="851" w:footer="992" w:gutter="0"/>
          <w:cols w:space="425" w:num="1"/>
          <w:docGrid w:type="lines" w:linePitch="312" w:charSpace="0"/>
        </w:sectPr>
      </w:pPr>
    </w:p>
    <w:p w14:paraId="51A8A9BF">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b w:val="0"/>
          <w:bCs w:val="0"/>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黑体" w:hAnsi="黑体" w:eastAsia="黑体" w:cs="黑体"/>
          <w:b w:val="0"/>
          <w:bCs w:val="0"/>
          <w:sz w:val="28"/>
          <w:szCs w:val="28"/>
          <w:lang w:val="en-US" w:eastAsia="zh-CN"/>
        </w:rPr>
        <w:drawing>
          <wp:inline distT="0" distB="0" distL="114300" distR="114300">
            <wp:extent cx="5906770" cy="7560310"/>
            <wp:effectExtent l="0" t="0" r="11430" b="8890"/>
            <wp:docPr id="6" name="图片 6" descr="冻煮金枪鱼鱼肉报告日期2024.12.04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冻煮金枪鱼鱼肉报告日期2024.12.04_07"/>
                    <pic:cNvPicPr>
                      <a:picLocks noChangeAspect="1"/>
                    </pic:cNvPicPr>
                  </pic:nvPicPr>
                  <pic:blipFill>
                    <a:blip r:embed="rId10"/>
                    <a:srcRect l="8107" t="801" b="16025"/>
                    <a:stretch>
                      <a:fillRect/>
                    </a:stretch>
                  </pic:blipFill>
                  <pic:spPr>
                    <a:xfrm>
                      <a:off x="0" y="0"/>
                      <a:ext cx="5906770" cy="7560310"/>
                    </a:xfrm>
                    <a:prstGeom prst="rect">
                      <a:avLst/>
                    </a:prstGeom>
                  </pic:spPr>
                </pic:pic>
              </a:graphicData>
            </a:graphic>
          </wp:inline>
        </w:drawing>
      </w:r>
      <w:r>
        <w:rPr>
          <w:sz w:val="28"/>
        </w:rPr>
        <mc:AlternateContent>
          <mc:Choice Requires="wps">
            <w:drawing>
              <wp:anchor distT="0" distB="0" distL="114300" distR="114300" simplePos="0" relativeHeight="251661312" behindDoc="0" locked="0" layoutInCell="1" allowOverlap="1">
                <wp:simplePos x="0" y="0"/>
                <wp:positionH relativeFrom="column">
                  <wp:posOffset>102870</wp:posOffset>
                </wp:positionH>
                <wp:positionV relativeFrom="paragraph">
                  <wp:posOffset>2082165</wp:posOffset>
                </wp:positionV>
                <wp:extent cx="5263515" cy="1208405"/>
                <wp:effectExtent l="13970" t="13970" r="18415" b="22225"/>
                <wp:wrapNone/>
                <wp:docPr id="8" name="矩形 8"/>
                <wp:cNvGraphicFramePr/>
                <a:graphic xmlns:a="http://schemas.openxmlformats.org/drawingml/2006/main">
                  <a:graphicData uri="http://schemas.microsoft.com/office/word/2010/wordprocessingShape">
                    <wps:wsp>
                      <wps:cNvSpPr/>
                      <wps:spPr>
                        <a:xfrm>
                          <a:off x="0" y="0"/>
                          <a:ext cx="5263515" cy="120840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pt;margin-top:163.95pt;height:95.15pt;width:414.45pt;z-index:251661312;v-text-anchor:middle;mso-width-relative:page;mso-height-relative:page;" filled="f" stroked="t" coordsize="21600,21600" o:gfxdata="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cWgddkAAAAKAQAADwAAAAAAAAABACAAAAAiAAAAZHJzL2Rvd25yZXYu&#10;eG1sUEsBAhQAFAAAAAgAh07iQOetQs1sAgAAzAQAAA4AAAAAAAAAAQAgAAAAKAEAAGRycy9lMm9E&#10;b2MueG1sUEsFBgAAAAAGAAYAWQEAAAYGAAAAAA==&#10;">
                <v:fill on="f" focussize="0,0"/>
                <v:stroke weight="2.25pt" color="#FF0000 [2404]" miterlimit="8" joinstyle="miter"/>
                <v:imagedata o:title=""/>
                <o:lock v:ext="edit" aspectratio="f"/>
              </v:rect>
            </w:pict>
          </mc:Fallback>
        </mc:AlternateContent>
      </w:r>
      <w:r>
        <w:rPr>
          <w:rFonts w:hint="default" w:ascii="黑体" w:hAnsi="黑体" w:eastAsia="黑体" w:cs="黑体"/>
          <w:b w:val="0"/>
          <w:bCs w:val="0"/>
          <w:sz w:val="28"/>
          <w:szCs w:val="28"/>
          <w:lang w:val="en-US" w:eastAsia="zh-CN"/>
        </w:rPr>
        <w:drawing>
          <wp:inline distT="0" distB="0" distL="114300" distR="114300">
            <wp:extent cx="5873750" cy="7919720"/>
            <wp:effectExtent l="0" t="0" r="6350" b="5080"/>
            <wp:docPr id="7" name="图片 7" descr="冻煮金枪鱼鱼肉报告日期2024.12.0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冻煮金枪鱼鱼肉报告日期2024.12.04_08"/>
                    <pic:cNvPicPr>
                      <a:picLocks noChangeAspect="1"/>
                    </pic:cNvPicPr>
                  </pic:nvPicPr>
                  <pic:blipFill>
                    <a:blip r:embed="rId11"/>
                    <a:srcRect l="6758" t="1227" b="9865"/>
                    <a:stretch>
                      <a:fillRect/>
                    </a:stretch>
                  </pic:blipFill>
                  <pic:spPr>
                    <a:xfrm>
                      <a:off x="0" y="0"/>
                      <a:ext cx="5873750" cy="7919720"/>
                    </a:xfrm>
                    <a:prstGeom prst="rect">
                      <a:avLst/>
                    </a:prstGeom>
                  </pic:spPr>
                </pic:pic>
              </a:graphicData>
            </a:graphic>
          </wp:inline>
        </w:drawing>
      </w:r>
    </w:p>
    <w:p w14:paraId="6B000C98">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left="0" w:leftChars="0"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kern w:val="2"/>
          <w:sz w:val="28"/>
          <w:szCs w:val="28"/>
          <w:lang w:val="en-US" w:eastAsia="zh-CN" w:bidi="ar-SA"/>
        </w:rPr>
        <w:t>（2）</w:t>
      </w:r>
      <w:r>
        <w:rPr>
          <w:rFonts w:hint="eastAsia" w:ascii="黑体" w:hAnsi="黑体" w:eastAsia="黑体" w:cs="黑体"/>
          <w:b w:val="0"/>
          <w:bCs w:val="0"/>
          <w:sz w:val="28"/>
          <w:szCs w:val="28"/>
          <w:lang w:val="en-US" w:eastAsia="zh-CN"/>
        </w:rPr>
        <w:t>浙江融创食品工业有限公司</w:t>
      </w:r>
    </w:p>
    <w:p w14:paraId="014878E6">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leftChars="0"/>
        <w:jc w:val="both"/>
        <w:textAlignment w:val="auto"/>
        <w:rPr>
          <w:rFonts w:hint="default" w:ascii="黑体" w:hAnsi="黑体" w:eastAsia="黑体" w:cs="黑体"/>
          <w:b w:val="0"/>
          <w:bCs w:val="0"/>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黑体" w:hAnsi="黑体" w:eastAsia="黑体" w:cs="黑体"/>
          <w:b w:val="0"/>
          <w:bCs w:val="0"/>
          <w:sz w:val="28"/>
          <w:szCs w:val="28"/>
          <w:lang w:val="en-US" w:eastAsia="zh-CN"/>
        </w:rPr>
        <w:drawing>
          <wp:inline distT="0" distB="0" distL="114300" distR="114300">
            <wp:extent cx="5596255" cy="7919720"/>
            <wp:effectExtent l="0" t="0" r="4445" b="5080"/>
            <wp:docPr id="10" name="图片 10" descr="冻煮金枪鱼肉（外检报告，融创）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冻煮金枪鱼肉（外检报告，融创）_01"/>
                    <pic:cNvPicPr>
                      <a:picLocks noChangeAspect="1"/>
                    </pic:cNvPicPr>
                  </pic:nvPicPr>
                  <pic:blipFill>
                    <a:blip r:embed="rId12"/>
                    <a:srcRect l="4348" t="2308" b="1976"/>
                    <a:stretch>
                      <a:fillRect/>
                    </a:stretch>
                  </pic:blipFill>
                  <pic:spPr>
                    <a:xfrm>
                      <a:off x="0" y="0"/>
                      <a:ext cx="5596255" cy="7919720"/>
                    </a:xfrm>
                    <a:prstGeom prst="rect">
                      <a:avLst/>
                    </a:prstGeom>
                  </pic:spPr>
                </pic:pic>
              </a:graphicData>
            </a:graphic>
          </wp:inline>
        </w:drawing>
      </w:r>
      <w:r>
        <w:rPr>
          <w:sz w:val="28"/>
        </w:rPr>
        <mc:AlternateContent>
          <mc:Choice Requires="wps">
            <w:drawing>
              <wp:anchor distT="0" distB="0" distL="114300" distR="114300" simplePos="0" relativeHeight="251662336" behindDoc="0" locked="0" layoutInCell="1" allowOverlap="1">
                <wp:simplePos x="0" y="0"/>
                <wp:positionH relativeFrom="column">
                  <wp:posOffset>182245</wp:posOffset>
                </wp:positionH>
                <wp:positionV relativeFrom="paragraph">
                  <wp:posOffset>4502785</wp:posOffset>
                </wp:positionV>
                <wp:extent cx="5263515" cy="3375025"/>
                <wp:effectExtent l="13970" t="13970" r="18415" b="14605"/>
                <wp:wrapNone/>
                <wp:docPr id="12" name="矩形 12"/>
                <wp:cNvGraphicFramePr/>
                <a:graphic xmlns:a="http://schemas.openxmlformats.org/drawingml/2006/main">
                  <a:graphicData uri="http://schemas.microsoft.com/office/word/2010/wordprocessingShape">
                    <wps:wsp>
                      <wps:cNvSpPr/>
                      <wps:spPr>
                        <a:xfrm>
                          <a:off x="0" y="0"/>
                          <a:ext cx="5263515" cy="337502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5pt;margin-top:354.55pt;height:265.75pt;width:414.45pt;z-index:251662336;v-text-anchor:middle;mso-width-relative:page;mso-height-relative:page;" filled="f" stroked="t" coordsize="21600,21600" o:gfxdata="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XbnI02QAAAAsBAAAPAAAAAAAAAAEAIAAAACIAAABkcnMvZG93bnJl&#10;di54bWxQSwECFAAUAAAACACHTuJALmVnXW4CAADOBAAADgAAAAAAAAABACAAAAAoAQAAZHJzL2Uy&#10;b0RvYy54bWxQSwUGAAAAAAYABgBZAQAACAYAAAAA&#10;">
                <v:fill on="f" focussize="0,0"/>
                <v:stroke weight="2.25pt" color="#FF0000 [2404]" miterlimit="8" joinstyle="miter"/>
                <v:imagedata o:title=""/>
                <o:lock v:ext="edit" aspectratio="f"/>
              </v:rect>
            </w:pict>
          </mc:Fallback>
        </mc:AlternateContent>
      </w:r>
      <w:r>
        <w:rPr>
          <w:rFonts w:hint="default" w:ascii="黑体" w:hAnsi="黑体" w:eastAsia="黑体" w:cs="黑体"/>
          <w:b w:val="0"/>
          <w:bCs w:val="0"/>
          <w:sz w:val="28"/>
          <w:szCs w:val="28"/>
          <w:lang w:val="en-US" w:eastAsia="zh-CN"/>
        </w:rPr>
        <w:drawing>
          <wp:inline distT="0" distB="0" distL="114300" distR="114300">
            <wp:extent cx="5845175" cy="8279765"/>
            <wp:effectExtent l="0" t="0" r="9525" b="635"/>
            <wp:docPr id="11" name="图片 11" descr="冻煮金枪鱼肉（外检报告，融创）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冻煮金枪鱼肉（外检报告，融创）_03"/>
                    <pic:cNvPicPr>
                      <a:picLocks noChangeAspect="1"/>
                    </pic:cNvPicPr>
                  </pic:nvPicPr>
                  <pic:blipFill>
                    <a:blip r:embed="rId13"/>
                    <a:srcRect l="3891" t="1848" b="1891"/>
                    <a:stretch>
                      <a:fillRect/>
                    </a:stretch>
                  </pic:blipFill>
                  <pic:spPr>
                    <a:xfrm>
                      <a:off x="0" y="0"/>
                      <a:ext cx="5845175" cy="8279765"/>
                    </a:xfrm>
                    <a:prstGeom prst="rect">
                      <a:avLst/>
                    </a:prstGeom>
                  </pic:spPr>
                </pic:pic>
              </a:graphicData>
            </a:graphic>
          </wp:inline>
        </w:drawing>
      </w:r>
      <w:r>
        <w:rPr>
          <w:sz w:val="28"/>
        </w:rPr>
        <mc:AlternateContent>
          <mc:Choice Requires="wps">
            <w:drawing>
              <wp:anchor distT="0" distB="0" distL="114300" distR="114300" simplePos="0" relativeHeight="251663360" behindDoc="0" locked="0" layoutInCell="1" allowOverlap="1">
                <wp:simplePos x="0" y="0"/>
                <wp:positionH relativeFrom="column">
                  <wp:posOffset>78740</wp:posOffset>
                </wp:positionH>
                <wp:positionV relativeFrom="paragraph">
                  <wp:posOffset>1922780</wp:posOffset>
                </wp:positionV>
                <wp:extent cx="5263515" cy="852170"/>
                <wp:effectExtent l="13970" t="14605" r="18415" b="22225"/>
                <wp:wrapNone/>
                <wp:docPr id="14" name="矩形 14"/>
                <wp:cNvGraphicFramePr/>
                <a:graphic xmlns:a="http://schemas.openxmlformats.org/drawingml/2006/main">
                  <a:graphicData uri="http://schemas.microsoft.com/office/word/2010/wordprocessingShape">
                    <wps:wsp>
                      <wps:cNvSpPr/>
                      <wps:spPr>
                        <a:xfrm>
                          <a:off x="0" y="0"/>
                          <a:ext cx="5263515" cy="85217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pt;margin-top:151.4pt;height:67.1pt;width:414.45pt;z-index:251663360;v-text-anchor:middle;mso-width-relative:page;mso-height-relative:page;" filled="f" stroked="t" coordsize="21600,21600" o:gfxdata="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k66bTYAAAACgEAAA8AAAAAAAAAAQAgAAAAIgAAAGRycy9kb3ducmV2Lnht&#10;bFBLAQIUABQAAAAIAIdO4kC3VfF0awIAAM0EAAAOAAAAAAAAAAEAIAAAACcBAABkcnMvZTJvRG9j&#10;LnhtbFBLBQYAAAAABgAGAFkBAAAEBgAAAAA=&#10;">
                <v:fill on="f" focussize="0,0"/>
                <v:stroke weight="2.25pt" color="#FF0000 [2404]" miterlimit="8" joinstyle="miter"/>
                <v:imagedata o:title=""/>
                <o:lock v:ext="edit" aspectratio="f"/>
              </v:rect>
            </w:pict>
          </mc:Fallback>
        </mc:AlternateContent>
      </w:r>
      <w:r>
        <w:rPr>
          <w:rFonts w:hint="default" w:ascii="黑体" w:hAnsi="黑体" w:eastAsia="黑体" w:cs="黑体"/>
          <w:b w:val="0"/>
          <w:bCs w:val="0"/>
          <w:sz w:val="28"/>
          <w:szCs w:val="28"/>
          <w:lang w:val="en-US" w:eastAsia="zh-CN"/>
        </w:rPr>
        <w:drawing>
          <wp:inline distT="0" distB="0" distL="114300" distR="114300">
            <wp:extent cx="5558790" cy="7919720"/>
            <wp:effectExtent l="0" t="0" r="3810" b="5080"/>
            <wp:docPr id="13" name="图片 13" descr="冻煮金枪鱼肉（外检报告，融创）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冻煮金枪鱼肉（外检报告，融创）_04"/>
                    <pic:cNvPicPr>
                      <a:picLocks noChangeAspect="1"/>
                    </pic:cNvPicPr>
                  </pic:nvPicPr>
                  <pic:blipFill>
                    <a:blip r:embed="rId14"/>
                    <a:srcRect l="4047" t="1644" b="1695"/>
                    <a:stretch>
                      <a:fillRect/>
                    </a:stretch>
                  </pic:blipFill>
                  <pic:spPr>
                    <a:xfrm>
                      <a:off x="0" y="0"/>
                      <a:ext cx="5558790" cy="7919720"/>
                    </a:xfrm>
                    <a:prstGeom prst="rect">
                      <a:avLst/>
                    </a:prstGeom>
                  </pic:spPr>
                </pic:pic>
              </a:graphicData>
            </a:graphic>
          </wp:inline>
        </w:drawing>
      </w:r>
    </w:p>
    <w:p w14:paraId="6092640C">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leftChars="0"/>
        <w:jc w:val="both"/>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（3）浙江兴业集团有限公司</w:t>
      </w:r>
    </w:p>
    <w:p w14:paraId="5888ACEB">
      <w:pPr>
        <w:keepNext w:val="0"/>
        <w:keepLines w:val="0"/>
        <w:pageBreakBefore w:val="0"/>
        <w:widowControl w:val="0"/>
        <w:numPr>
          <w:ilvl w:val="0"/>
          <w:numId w:val="0"/>
        </w:numPr>
        <w:tabs>
          <w:tab w:val="left" w:pos="2179"/>
        </w:tabs>
        <w:kinsoku/>
        <w:wordWrap/>
        <w:overflowPunct/>
        <w:topLinePunct w:val="0"/>
        <w:autoSpaceDE/>
        <w:autoSpaceDN/>
        <w:bidi w:val="0"/>
        <w:adjustRightInd/>
        <w:snapToGrid/>
        <w:spacing w:line="240" w:lineRule="auto"/>
        <w:ind w:leftChars="0"/>
        <w:jc w:val="both"/>
        <w:textAlignment w:val="auto"/>
        <w:rPr>
          <w:rFonts w:hint="default" w:ascii="黑体" w:hAnsi="黑体" w:eastAsia="黑体" w:cs="黑体"/>
          <w:b w:val="0"/>
          <w:bCs w:val="0"/>
          <w:sz w:val="28"/>
          <w:szCs w:val="28"/>
          <w:lang w:val="en-US" w:eastAsia="zh-CN"/>
        </w:rPr>
      </w:pPr>
      <w:r>
        <w:rPr>
          <w:rFonts w:hint="default" w:ascii="黑体" w:hAnsi="黑体" w:eastAsia="黑体" w:cs="黑体"/>
          <w:b w:val="0"/>
          <w:bCs w:val="0"/>
          <w:sz w:val="28"/>
          <w:szCs w:val="28"/>
          <w:lang w:val="en-US" w:eastAsia="zh-CN"/>
        </w:rPr>
        <w:drawing>
          <wp:inline distT="0" distB="0" distL="114300" distR="114300">
            <wp:extent cx="5697855" cy="7200265"/>
            <wp:effectExtent l="0" t="0" r="4445" b="635"/>
            <wp:docPr id="15" name="图片 15" descr="YYJCY2410023-冻煮鲣鱼肉-2024103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YYJCY2410023-冻煮鲣鱼肉-20241030_02"/>
                    <pic:cNvPicPr>
                      <a:picLocks noChangeAspect="1"/>
                    </pic:cNvPicPr>
                  </pic:nvPicPr>
                  <pic:blipFill>
                    <a:blip r:embed="rId15"/>
                    <a:srcRect l="11427" t="7347" b="13509"/>
                    <a:stretch>
                      <a:fillRect/>
                    </a:stretch>
                  </pic:blipFill>
                  <pic:spPr>
                    <a:xfrm>
                      <a:off x="0" y="0"/>
                      <a:ext cx="5697855" cy="7200265"/>
                    </a:xfrm>
                    <a:prstGeom prst="rect">
                      <a:avLst/>
                    </a:prstGeom>
                  </pic:spPr>
                </pic:pic>
              </a:graphicData>
            </a:graphic>
          </wp:inline>
        </w:drawing>
      </w:r>
      <w:r>
        <w:rPr>
          <w:sz w:val="28"/>
        </w:rPr>
        <mc:AlternateContent>
          <mc:Choice Requires="wps">
            <w:drawing>
              <wp:anchor distT="0" distB="0" distL="114300" distR="114300" simplePos="0" relativeHeight="251664384" behindDoc="0" locked="0" layoutInCell="1" allowOverlap="1">
                <wp:simplePos x="0" y="0"/>
                <wp:positionH relativeFrom="column">
                  <wp:posOffset>78740</wp:posOffset>
                </wp:positionH>
                <wp:positionV relativeFrom="paragraph">
                  <wp:posOffset>1986280</wp:posOffset>
                </wp:positionV>
                <wp:extent cx="5263515" cy="503555"/>
                <wp:effectExtent l="13970" t="13970" r="18415" b="15875"/>
                <wp:wrapNone/>
                <wp:docPr id="19" name="矩形 19"/>
                <wp:cNvGraphicFramePr/>
                <a:graphic xmlns:a="http://schemas.openxmlformats.org/drawingml/2006/main">
                  <a:graphicData uri="http://schemas.microsoft.com/office/word/2010/wordprocessingShape">
                    <wps:wsp>
                      <wps:cNvSpPr/>
                      <wps:spPr>
                        <a:xfrm>
                          <a:off x="0" y="0"/>
                          <a:ext cx="5263515" cy="50355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pt;margin-top:156.4pt;height:39.65pt;width:414.45pt;z-index:251664384;v-text-anchor:middle;mso-width-relative:page;mso-height-relative:page;" filled="f" stroked="t" coordsize="21600,21600" o:gfxdata="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MV+ei2AAAAAoBAAAPAAAAAAAAAAEAIAAAACIAAABkcnMvZG93bnJldi54&#10;bWxQSwECFAAUAAAACACHTuJADhm2I2wCAADNBAAADgAAAAAAAAABACAAAAAnAQAAZHJzL2Uyb0Rv&#10;Yy54bWxQSwUGAAAAAAYABgBZAQAABQYAAAAA&#10;">
                <v:fill on="f" focussize="0,0"/>
                <v:stroke weight="2.25pt" color="#FF0000 [2404]" miterlimit="8" joinstyle="miter"/>
                <v:imagedata o:title=""/>
                <o:lock v:ext="edit" aspectratio="f"/>
              </v:rect>
            </w:pict>
          </mc:Fallback>
        </mc:AlternateContent>
      </w:r>
      <w:r>
        <w:rPr>
          <w:rFonts w:hint="default" w:ascii="黑体" w:hAnsi="黑体" w:eastAsia="黑体" w:cs="黑体"/>
          <w:b w:val="0"/>
          <w:bCs w:val="0"/>
          <w:sz w:val="28"/>
          <w:szCs w:val="28"/>
          <w:lang w:val="en-US" w:eastAsia="zh-CN"/>
        </w:rPr>
        <w:drawing>
          <wp:inline distT="0" distB="0" distL="114300" distR="114300">
            <wp:extent cx="5393690" cy="7919720"/>
            <wp:effectExtent l="0" t="0" r="3810" b="5080"/>
            <wp:docPr id="16" name="图片 16" descr="YYJCY2410023-冻煮鲣鱼肉-2024103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YYJCY2410023-冻煮鲣鱼肉-20241030_03"/>
                    <pic:cNvPicPr>
                      <a:picLocks noChangeAspect="1"/>
                    </pic:cNvPicPr>
                  </pic:nvPicPr>
                  <pic:blipFill>
                    <a:blip r:embed="rId16"/>
                    <a:srcRect l="11427" t="7892" r="11150" b="11728"/>
                    <a:stretch>
                      <a:fillRect/>
                    </a:stretch>
                  </pic:blipFill>
                  <pic:spPr>
                    <a:xfrm>
                      <a:off x="0" y="0"/>
                      <a:ext cx="5393690" cy="7919720"/>
                    </a:xfrm>
                    <a:prstGeom prst="rect">
                      <a:avLst/>
                    </a:prstGeom>
                  </pic:spPr>
                </pic:pic>
              </a:graphicData>
            </a:graphic>
          </wp:inline>
        </w:drawing>
      </w:r>
      <w:r>
        <w:rPr>
          <w:sz w:val="28"/>
        </w:rPr>
        <mc:AlternateContent>
          <mc:Choice Requires="wps">
            <w:drawing>
              <wp:anchor distT="0" distB="0" distL="114300" distR="114300" simplePos="0" relativeHeight="251665408" behindDoc="0" locked="0" layoutInCell="1" allowOverlap="1">
                <wp:simplePos x="0" y="0"/>
                <wp:positionH relativeFrom="column">
                  <wp:posOffset>134620</wp:posOffset>
                </wp:positionH>
                <wp:positionV relativeFrom="paragraph">
                  <wp:posOffset>4510405</wp:posOffset>
                </wp:positionV>
                <wp:extent cx="5263515" cy="979170"/>
                <wp:effectExtent l="13970" t="13970" r="18415" b="22860"/>
                <wp:wrapNone/>
                <wp:docPr id="21" name="矩形 21"/>
                <wp:cNvGraphicFramePr/>
                <a:graphic xmlns:a="http://schemas.openxmlformats.org/drawingml/2006/main">
                  <a:graphicData uri="http://schemas.microsoft.com/office/word/2010/wordprocessingShape">
                    <wps:wsp>
                      <wps:cNvSpPr/>
                      <wps:spPr>
                        <a:xfrm>
                          <a:off x="0" y="0"/>
                          <a:ext cx="5263515" cy="97917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pt;margin-top:355.15pt;height:77.1pt;width:414.45pt;z-index:251665408;v-text-anchor:middle;mso-width-relative:page;mso-height-relative:page;" filled="f" stroked="t" coordsize="21600,21600" o:gfxdata="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51g179kAAAAKAQAADwAAAAAAAAABACAAAAAiAAAAZHJzL2Rvd25yZXYu&#10;eG1sUEsBAhQAFAAAAAgAh07iQGrl1p5sAgAAzQQAAA4AAAAAAAAAAQAgAAAAKAEAAGRycy9lMm9E&#10;b2MueG1sUEsFBgAAAAAGAAYAWQEAAAYGAAAAAA==&#10;">
                <v:fill on="f" focussize="0,0"/>
                <v:stroke weight="2.25pt" color="#FF0000 [2404]" miterlimit="8" joinstyle="miter"/>
                <v:imagedata o:title=""/>
                <o:lock v:ext="edit" aspectratio="f"/>
              </v:rect>
            </w:pict>
          </mc:Fallback>
        </mc:AlternateContent>
      </w:r>
      <w:r>
        <w:rPr>
          <w:rFonts w:hint="default" w:ascii="黑体" w:hAnsi="黑体" w:eastAsia="黑体" w:cs="黑体"/>
          <w:b w:val="0"/>
          <w:bCs w:val="0"/>
          <w:sz w:val="28"/>
          <w:szCs w:val="28"/>
          <w:lang w:val="en-US" w:eastAsia="zh-CN"/>
        </w:rPr>
        <w:drawing>
          <wp:inline distT="0" distB="0" distL="114300" distR="114300">
            <wp:extent cx="6053455" cy="7919720"/>
            <wp:effectExtent l="0" t="0" r="4445" b="5080"/>
            <wp:docPr id="17" name="图片 17" descr="YYJCY2410023-冻煮鲣鱼肉-2024103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YYJCY2410023-冻煮鲣鱼肉-20241030_04"/>
                    <pic:cNvPicPr>
                      <a:picLocks noChangeAspect="1"/>
                    </pic:cNvPicPr>
                  </pic:nvPicPr>
                  <pic:blipFill>
                    <a:blip r:embed="rId17"/>
                    <a:srcRect l="8570" t="8208" b="7219"/>
                    <a:stretch>
                      <a:fillRect/>
                    </a:stretch>
                  </pic:blipFill>
                  <pic:spPr>
                    <a:xfrm>
                      <a:off x="0" y="0"/>
                      <a:ext cx="6053455" cy="791972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4DFB8"/>
    <w:multiLevelType w:val="singleLevel"/>
    <w:tmpl w:val="01E4DFB8"/>
    <w:lvl w:ilvl="0" w:tentative="0">
      <w:start w:val="2"/>
      <w:numFmt w:val="chineseCounting"/>
      <w:suff w:val="nothing"/>
      <w:lvlText w:val="（%1）"/>
      <w:lvlJc w:val="left"/>
      <w:rPr>
        <w:rFonts w:hint="eastAsia"/>
      </w:rPr>
    </w:lvl>
  </w:abstractNum>
  <w:abstractNum w:abstractNumId="1">
    <w:nsid w:val="19350861"/>
    <w:multiLevelType w:val="singleLevel"/>
    <w:tmpl w:val="19350861"/>
    <w:lvl w:ilvl="0" w:tentative="0">
      <w:start w:val="5"/>
      <w:numFmt w:val="chineseCounting"/>
      <w:suff w:val="nothing"/>
      <w:lvlText w:val="%1、"/>
      <w:lvlJc w:val="left"/>
      <w:rPr>
        <w:rFonts w:hint="eastAsia"/>
      </w:rPr>
    </w:lvl>
  </w:abstractNum>
  <w:abstractNum w:abstractNumId="2">
    <w:nsid w:val="1FC91163"/>
    <w:multiLevelType w:val="multilevel"/>
    <w:tmpl w:val="1FC91163"/>
    <w:lvl w:ilvl="0" w:tentative="0">
      <w:start w:val="1"/>
      <w:numFmt w:val="decimal"/>
      <w:pStyle w:val="12"/>
      <w:suff w:val="nothing"/>
      <w:lvlText w:val="%1　"/>
      <w:lvlJc w:val="left"/>
      <w:pPr>
        <w:ind w:left="142"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8264D"/>
    <w:rsid w:val="00A95A9A"/>
    <w:rsid w:val="03B33CCB"/>
    <w:rsid w:val="048E0DFB"/>
    <w:rsid w:val="04C44478"/>
    <w:rsid w:val="04F80667"/>
    <w:rsid w:val="05C7271C"/>
    <w:rsid w:val="05F8147F"/>
    <w:rsid w:val="05F86D19"/>
    <w:rsid w:val="06C5028C"/>
    <w:rsid w:val="095B2106"/>
    <w:rsid w:val="098C3721"/>
    <w:rsid w:val="0AC725A8"/>
    <w:rsid w:val="0AF14DDE"/>
    <w:rsid w:val="0B3714CE"/>
    <w:rsid w:val="0BC71E3E"/>
    <w:rsid w:val="0BD20953"/>
    <w:rsid w:val="0BF12E40"/>
    <w:rsid w:val="0C4061B8"/>
    <w:rsid w:val="0C693A6C"/>
    <w:rsid w:val="0C6C10BA"/>
    <w:rsid w:val="0E655332"/>
    <w:rsid w:val="0ED6071D"/>
    <w:rsid w:val="0EE56446"/>
    <w:rsid w:val="0F6F14D0"/>
    <w:rsid w:val="103A6BF5"/>
    <w:rsid w:val="105F75BC"/>
    <w:rsid w:val="10AA5E61"/>
    <w:rsid w:val="116025E6"/>
    <w:rsid w:val="11787F88"/>
    <w:rsid w:val="125638A6"/>
    <w:rsid w:val="12701F9A"/>
    <w:rsid w:val="13B7171B"/>
    <w:rsid w:val="143F353A"/>
    <w:rsid w:val="14D51331"/>
    <w:rsid w:val="151C3D9E"/>
    <w:rsid w:val="155D7289"/>
    <w:rsid w:val="161A68A7"/>
    <w:rsid w:val="171D3FEE"/>
    <w:rsid w:val="176E2CCD"/>
    <w:rsid w:val="179247E9"/>
    <w:rsid w:val="18597894"/>
    <w:rsid w:val="18B90B18"/>
    <w:rsid w:val="19D73C99"/>
    <w:rsid w:val="1ACE5C45"/>
    <w:rsid w:val="1B5C6402"/>
    <w:rsid w:val="1B6500CD"/>
    <w:rsid w:val="1BAD7893"/>
    <w:rsid w:val="1BBC447B"/>
    <w:rsid w:val="1C5D03EA"/>
    <w:rsid w:val="1DA11B7B"/>
    <w:rsid w:val="1E683E7F"/>
    <w:rsid w:val="1E7B605D"/>
    <w:rsid w:val="204C6EB8"/>
    <w:rsid w:val="20684BD2"/>
    <w:rsid w:val="212873A4"/>
    <w:rsid w:val="214B063B"/>
    <w:rsid w:val="22097DC7"/>
    <w:rsid w:val="226B1251"/>
    <w:rsid w:val="228A04AB"/>
    <w:rsid w:val="22C22388"/>
    <w:rsid w:val="22F56BF1"/>
    <w:rsid w:val="241768B6"/>
    <w:rsid w:val="249C5536"/>
    <w:rsid w:val="24A615C6"/>
    <w:rsid w:val="252A5F75"/>
    <w:rsid w:val="25CA0BA1"/>
    <w:rsid w:val="266C1E0E"/>
    <w:rsid w:val="26AF70B6"/>
    <w:rsid w:val="26DB6E8E"/>
    <w:rsid w:val="26F868E4"/>
    <w:rsid w:val="27021CCA"/>
    <w:rsid w:val="276E7486"/>
    <w:rsid w:val="27803CEE"/>
    <w:rsid w:val="2870411A"/>
    <w:rsid w:val="28A60C3C"/>
    <w:rsid w:val="28C25E2C"/>
    <w:rsid w:val="294E23BF"/>
    <w:rsid w:val="294F16C4"/>
    <w:rsid w:val="29554BA7"/>
    <w:rsid w:val="2ABF7DC6"/>
    <w:rsid w:val="2B1B2555"/>
    <w:rsid w:val="2C5D6445"/>
    <w:rsid w:val="2CEC1539"/>
    <w:rsid w:val="2DF0075C"/>
    <w:rsid w:val="2DFB4423"/>
    <w:rsid w:val="2F286E41"/>
    <w:rsid w:val="2F65590A"/>
    <w:rsid w:val="2F810DC1"/>
    <w:rsid w:val="31DA0406"/>
    <w:rsid w:val="31F57CED"/>
    <w:rsid w:val="323235F2"/>
    <w:rsid w:val="34AB341B"/>
    <w:rsid w:val="34C208FD"/>
    <w:rsid w:val="350D4796"/>
    <w:rsid w:val="35102BBE"/>
    <w:rsid w:val="351560B2"/>
    <w:rsid w:val="35223149"/>
    <w:rsid w:val="36690C06"/>
    <w:rsid w:val="36CE5337"/>
    <w:rsid w:val="382F3EAE"/>
    <w:rsid w:val="383218A1"/>
    <w:rsid w:val="384E780F"/>
    <w:rsid w:val="39316051"/>
    <w:rsid w:val="3A3056D6"/>
    <w:rsid w:val="3B0E2527"/>
    <w:rsid w:val="3B110685"/>
    <w:rsid w:val="3B7B7182"/>
    <w:rsid w:val="3BA81579"/>
    <w:rsid w:val="3D2070B5"/>
    <w:rsid w:val="3D420B5D"/>
    <w:rsid w:val="3DAA29BA"/>
    <w:rsid w:val="3ED16170"/>
    <w:rsid w:val="415C1C26"/>
    <w:rsid w:val="44116132"/>
    <w:rsid w:val="44403C94"/>
    <w:rsid w:val="44937BC0"/>
    <w:rsid w:val="451E30B0"/>
    <w:rsid w:val="45341A59"/>
    <w:rsid w:val="459262B6"/>
    <w:rsid w:val="459F1687"/>
    <w:rsid w:val="462C3E28"/>
    <w:rsid w:val="46414FC7"/>
    <w:rsid w:val="46844D9D"/>
    <w:rsid w:val="47161236"/>
    <w:rsid w:val="47464749"/>
    <w:rsid w:val="47AA7873"/>
    <w:rsid w:val="47D86C19"/>
    <w:rsid w:val="48F13F78"/>
    <w:rsid w:val="495A69C3"/>
    <w:rsid w:val="4A252A93"/>
    <w:rsid w:val="4AA4400A"/>
    <w:rsid w:val="4B183A8E"/>
    <w:rsid w:val="4B2D06A7"/>
    <w:rsid w:val="4CF5678F"/>
    <w:rsid w:val="4CFE326D"/>
    <w:rsid w:val="4D0B6AF7"/>
    <w:rsid w:val="4DF73D65"/>
    <w:rsid w:val="4E1D4D2E"/>
    <w:rsid w:val="4EA2112B"/>
    <w:rsid w:val="4F1C3621"/>
    <w:rsid w:val="4FF21C3E"/>
    <w:rsid w:val="50091103"/>
    <w:rsid w:val="50942CF5"/>
    <w:rsid w:val="518F170F"/>
    <w:rsid w:val="52AC6580"/>
    <w:rsid w:val="52D84252"/>
    <w:rsid w:val="52E96B3A"/>
    <w:rsid w:val="540C5E15"/>
    <w:rsid w:val="54602B84"/>
    <w:rsid w:val="56246AA8"/>
    <w:rsid w:val="57682A6D"/>
    <w:rsid w:val="57DD7F49"/>
    <w:rsid w:val="59097FF9"/>
    <w:rsid w:val="59246CD2"/>
    <w:rsid w:val="599B0128"/>
    <w:rsid w:val="59E909D8"/>
    <w:rsid w:val="5A3D07F3"/>
    <w:rsid w:val="5A5836E3"/>
    <w:rsid w:val="5A634CDE"/>
    <w:rsid w:val="5B9E4C01"/>
    <w:rsid w:val="5BAC01CB"/>
    <w:rsid w:val="5C1D1F24"/>
    <w:rsid w:val="5D1C0469"/>
    <w:rsid w:val="5D4F42C0"/>
    <w:rsid w:val="5DFF22AD"/>
    <w:rsid w:val="5EA66A16"/>
    <w:rsid w:val="5EFD3FD1"/>
    <w:rsid w:val="6086463A"/>
    <w:rsid w:val="61500EBB"/>
    <w:rsid w:val="619A7170"/>
    <w:rsid w:val="61F3296E"/>
    <w:rsid w:val="62667A33"/>
    <w:rsid w:val="62DC5E07"/>
    <w:rsid w:val="62DF77D7"/>
    <w:rsid w:val="638D5C87"/>
    <w:rsid w:val="63A117AA"/>
    <w:rsid w:val="63F804BB"/>
    <w:rsid w:val="64D90AC6"/>
    <w:rsid w:val="65690810"/>
    <w:rsid w:val="65717134"/>
    <w:rsid w:val="65872625"/>
    <w:rsid w:val="661414F2"/>
    <w:rsid w:val="66CD0419"/>
    <w:rsid w:val="66D62446"/>
    <w:rsid w:val="66EE40AD"/>
    <w:rsid w:val="67735B0A"/>
    <w:rsid w:val="6833299C"/>
    <w:rsid w:val="68912043"/>
    <w:rsid w:val="68E2580A"/>
    <w:rsid w:val="69394450"/>
    <w:rsid w:val="694D7A8E"/>
    <w:rsid w:val="69912DEF"/>
    <w:rsid w:val="6A5B798E"/>
    <w:rsid w:val="6ACE0429"/>
    <w:rsid w:val="6C443032"/>
    <w:rsid w:val="6D325918"/>
    <w:rsid w:val="6FAD11ED"/>
    <w:rsid w:val="6FAD42FB"/>
    <w:rsid w:val="6FD71C4D"/>
    <w:rsid w:val="6FE905D9"/>
    <w:rsid w:val="6FF03A77"/>
    <w:rsid w:val="70050AA1"/>
    <w:rsid w:val="71CB0748"/>
    <w:rsid w:val="72B172DF"/>
    <w:rsid w:val="72CB4344"/>
    <w:rsid w:val="7306005E"/>
    <w:rsid w:val="7326246D"/>
    <w:rsid w:val="74514C81"/>
    <w:rsid w:val="74784559"/>
    <w:rsid w:val="75193708"/>
    <w:rsid w:val="76222141"/>
    <w:rsid w:val="76A91D03"/>
    <w:rsid w:val="76F82FF4"/>
    <w:rsid w:val="77366005"/>
    <w:rsid w:val="782554E6"/>
    <w:rsid w:val="78FD0062"/>
    <w:rsid w:val="79475A84"/>
    <w:rsid w:val="79D809C1"/>
    <w:rsid w:val="7A2752F3"/>
    <w:rsid w:val="7ACA0D7F"/>
    <w:rsid w:val="7B255265"/>
    <w:rsid w:val="7B2A672C"/>
    <w:rsid w:val="7B4A7FCB"/>
    <w:rsid w:val="7C0D2E8E"/>
    <w:rsid w:val="7C4F208D"/>
    <w:rsid w:val="7C6B6751"/>
    <w:rsid w:val="7C71238F"/>
    <w:rsid w:val="7C8B5D9F"/>
    <w:rsid w:val="7D2C20C8"/>
    <w:rsid w:val="7DE70330"/>
    <w:rsid w:val="7E1819F2"/>
    <w:rsid w:val="7E633900"/>
    <w:rsid w:val="7F222AA5"/>
    <w:rsid w:val="7FEB68F9"/>
    <w:rsid w:val="7FEE004B"/>
    <w:rsid w:val="7FF75A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caption"/>
    <w:basedOn w:val="1"/>
    <w:next w:val="1"/>
    <w:semiHidden/>
    <w:unhideWhenUsed/>
    <w:qFormat/>
    <w:uiPriority w:val="0"/>
    <w:rPr>
      <w:rFonts w:ascii="Arial" w:hAnsi="Arial" w:eastAsia="黑体"/>
      <w:sz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章标题"/>
    <w:next w:val="13"/>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13">
    <w:name w:val="段"/>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2373</Words>
  <Characters>2499</Characters>
  <Lines>0</Lines>
  <Paragraphs>0</Paragraphs>
  <TotalTime>3</TotalTime>
  <ScaleCrop>false</ScaleCrop>
  <LinksUpToDate>false</LinksUpToDate>
  <CharactersWithSpaces>2509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2025-04-03T03:41:00Z</dcterms:created>
  <dc:creator>简臻11</dc:creator>
  <cp:lastModifiedBy>@</cp:lastModifiedBy>
  <dcterms:modified xsi:type="dcterms:W3CDTF">2025-07-10T08:19:59Z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eyJoZGlkIjoiOGUwZmJhNjIzOWZkYTMwMzE4OTM2ZGNmODNlNGZjYzgiLCJ1c2VySWQiOiI0MzM0MTQ3NDkifQ==</vt:lpwstr>
  </property>
  <property fmtid="{D5CDD505-2E9C-101B-9397-08002B2CF9AE}" pid="4" name="ICV">
    <vt:lpwstr>70FF3A13A75D4E38A63F0C13129DD6DD_13</vt:lpwstr>
  </property>
</Properties>
</file>